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BD20A2" w14:textId="1A5F844E" w:rsidR="00513DD3" w:rsidRPr="0052548E" w:rsidRDefault="00513DD3" w:rsidP="00513DD3">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sidR="00764120">
        <w:rPr>
          <w:rFonts w:ascii="Arial" w:hAnsi="Arial" w:cs="Arial" w:hint="eastAsia"/>
          <w:b/>
          <w:bCs/>
          <w:sz w:val="28"/>
        </w:rPr>
        <w:t xml:space="preserve">Ad-Hoc </w:t>
      </w:r>
      <w:r w:rsidRPr="0052548E">
        <w:rPr>
          <w:rFonts w:ascii="Arial" w:hAnsi="Arial" w:cs="Arial"/>
          <w:b/>
          <w:bCs/>
          <w:sz w:val="28"/>
        </w:rPr>
        <w:t>Meeting</w:t>
      </w:r>
      <w:r>
        <w:rPr>
          <w:rFonts w:ascii="Arial" w:hAnsi="Arial" w:cs="Arial"/>
          <w:b/>
          <w:bCs/>
          <w:sz w:val="28"/>
        </w:rPr>
        <w:t xml:space="preserve"> </w:t>
      </w:r>
      <w:r w:rsidR="00764120">
        <w:rPr>
          <w:rFonts w:ascii="Arial" w:hAnsi="Arial" w:cs="Arial"/>
          <w:b/>
          <w:bCs/>
          <w:sz w:val="28"/>
        </w:rPr>
        <w:t>1901</w:t>
      </w:r>
      <w:r w:rsidR="00904EBD">
        <w:rPr>
          <w:rFonts w:ascii="Arial" w:hAnsi="Arial" w:cs="Arial" w:hint="eastAsia"/>
          <w:b/>
          <w:bCs/>
          <w:sz w:val="28"/>
        </w:rPr>
        <w:t xml:space="preserve">                                  </w:t>
      </w:r>
      <w:r w:rsidR="00C81455" w:rsidRPr="00C81455">
        <w:rPr>
          <w:rFonts w:ascii="Arial" w:hAnsi="Arial" w:cs="Arial"/>
          <w:b/>
          <w:bCs/>
          <w:sz w:val="28"/>
        </w:rPr>
        <w:t>R1-1</w:t>
      </w:r>
      <w:r w:rsidR="00764120">
        <w:rPr>
          <w:rFonts w:ascii="Arial" w:hAnsi="Arial" w:cs="Arial"/>
          <w:b/>
          <w:bCs/>
          <w:sz w:val="28"/>
        </w:rPr>
        <w:t>9</w:t>
      </w:r>
      <w:r w:rsidR="00817E7B" w:rsidRPr="00817E7B">
        <w:rPr>
          <w:rFonts w:ascii="Arial" w:hAnsi="Arial" w:cs="Arial"/>
          <w:b/>
          <w:bCs/>
          <w:sz w:val="28"/>
        </w:rPr>
        <w:t>0095</w:t>
      </w:r>
      <w:r w:rsidR="00F05A28">
        <w:rPr>
          <w:rFonts w:ascii="Arial" w:hAnsi="Arial" w:cs="Arial"/>
          <w:b/>
          <w:bCs/>
          <w:sz w:val="28"/>
        </w:rPr>
        <w:t>2</w:t>
      </w:r>
    </w:p>
    <w:p w14:paraId="1F172407" w14:textId="3858284D" w:rsidR="00764120" w:rsidRPr="009513AC" w:rsidRDefault="003A4A4F" w:rsidP="00764120">
      <w:pPr>
        <w:tabs>
          <w:tab w:val="center" w:pos="4536"/>
          <w:tab w:val="right" w:pos="9072"/>
        </w:tabs>
        <w:rPr>
          <w:rFonts w:ascii="Arial" w:eastAsia="ＭＳ 明朝" w:hAnsi="Arial" w:cs="Arial"/>
          <w:b/>
          <w:bCs/>
          <w:sz w:val="28"/>
        </w:rPr>
      </w:pPr>
      <w:r>
        <w:rPr>
          <w:rFonts w:ascii="Arial" w:eastAsia="ＭＳ 明朝" w:hAnsi="Arial" w:cs="Arial"/>
          <w:b/>
          <w:bCs/>
          <w:sz w:val="28"/>
        </w:rPr>
        <w:t xml:space="preserve">Taipei, </w:t>
      </w:r>
      <w:r w:rsidR="00764120">
        <w:rPr>
          <w:rFonts w:ascii="Arial" w:eastAsia="ＭＳ 明朝" w:hAnsi="Arial" w:cs="Arial"/>
          <w:b/>
          <w:bCs/>
          <w:sz w:val="28"/>
        </w:rPr>
        <w:t>21</w:t>
      </w:r>
      <w:r w:rsidR="00764120" w:rsidRPr="002826AF">
        <w:rPr>
          <w:rFonts w:ascii="Arial" w:eastAsia="ＭＳ 明朝" w:hAnsi="Arial" w:cs="Arial"/>
          <w:b/>
          <w:bCs/>
          <w:sz w:val="28"/>
          <w:vertAlign w:val="superscript"/>
        </w:rPr>
        <w:t>st</w:t>
      </w:r>
      <w:r w:rsidR="00764120">
        <w:rPr>
          <w:rFonts w:ascii="Arial" w:eastAsia="ＭＳ 明朝" w:hAnsi="Arial" w:cs="Arial"/>
          <w:b/>
          <w:bCs/>
          <w:sz w:val="28"/>
        </w:rPr>
        <w:t xml:space="preserve"> – 25</w:t>
      </w:r>
      <w:r w:rsidR="00764120" w:rsidRPr="002826AF">
        <w:rPr>
          <w:rFonts w:ascii="Arial" w:eastAsia="ＭＳ 明朝" w:hAnsi="Arial" w:cs="Arial"/>
          <w:b/>
          <w:bCs/>
          <w:sz w:val="28"/>
          <w:vertAlign w:val="superscript"/>
        </w:rPr>
        <w:t>th</w:t>
      </w:r>
      <w:r w:rsidR="00764120">
        <w:rPr>
          <w:rFonts w:ascii="Arial" w:eastAsia="ＭＳ 明朝" w:hAnsi="Arial" w:cs="Arial"/>
          <w:b/>
          <w:bCs/>
          <w:sz w:val="28"/>
        </w:rPr>
        <w:t xml:space="preserve"> January, 2019</w:t>
      </w:r>
    </w:p>
    <w:p w14:paraId="0B31F29E" w14:textId="77777777" w:rsidR="008A34D9" w:rsidRPr="00764120" w:rsidRDefault="008A34D9"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488B4875"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F05A28">
        <w:rPr>
          <w:sz w:val="24"/>
          <w:lang w:val="en-US" w:eastAsia="ja-JP"/>
        </w:rPr>
        <w:t>U</w:t>
      </w:r>
      <w:r w:rsidR="00CB0874" w:rsidRPr="00CB0874">
        <w:rPr>
          <w:sz w:val="24"/>
          <w:lang w:val="en-US" w:eastAsia="ja-JP"/>
        </w:rPr>
        <w:t>L signals and channels for NR-U</w:t>
      </w:r>
    </w:p>
    <w:p w14:paraId="33948831" w14:textId="7B638956"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EA7428">
        <w:rPr>
          <w:rFonts w:hint="eastAsia"/>
          <w:sz w:val="24"/>
          <w:lang w:val="en-US" w:eastAsia="ja-JP"/>
        </w:rPr>
        <w:t>2</w:t>
      </w:r>
      <w:r w:rsidR="00321046">
        <w:rPr>
          <w:sz w:val="24"/>
          <w:lang w:val="en-US" w:eastAsia="ja-JP"/>
        </w:rPr>
        <w:t>.</w:t>
      </w:r>
      <w:r w:rsidR="00484F06">
        <w:rPr>
          <w:rFonts w:hint="eastAsia"/>
          <w:sz w:val="24"/>
          <w:lang w:val="en-US" w:eastAsia="ja-JP"/>
        </w:rPr>
        <w:t>2.1.</w:t>
      </w:r>
      <w:r w:rsidR="00ED0C48">
        <w:rPr>
          <w:sz w:val="24"/>
          <w:lang w:val="en-US" w:eastAsia="ja-JP"/>
        </w:rPr>
        <w:t>3</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BE674C4" w14:textId="4C8AE2D8" w:rsidR="00A97218" w:rsidRDefault="005C1ADE" w:rsidP="00956F10">
      <w:pPr>
        <w:spacing w:afterLines="50" w:after="120"/>
        <w:jc w:val="both"/>
        <w:rPr>
          <w:rFonts w:eastAsia="ＭＳ 明朝"/>
          <w:sz w:val="22"/>
          <w:szCs w:val="22"/>
          <w:lang w:val="en-US"/>
        </w:rPr>
      </w:pPr>
      <w:r>
        <w:rPr>
          <w:rFonts w:eastAsia="ＭＳ 明朝" w:hint="eastAsia"/>
          <w:sz w:val="22"/>
          <w:szCs w:val="22"/>
          <w:lang w:val="en-US"/>
        </w:rPr>
        <w:t>At the RAN</w:t>
      </w:r>
      <w:r w:rsidR="00764120">
        <w:rPr>
          <w:rFonts w:eastAsia="ＭＳ 明朝" w:hint="eastAsia"/>
          <w:sz w:val="22"/>
          <w:szCs w:val="22"/>
          <w:lang w:val="en-US"/>
        </w:rPr>
        <w:t>#82</w:t>
      </w:r>
      <w:r w:rsidR="00A97218">
        <w:rPr>
          <w:rFonts w:eastAsia="ＭＳ 明朝" w:hint="eastAsia"/>
          <w:sz w:val="22"/>
          <w:szCs w:val="22"/>
          <w:lang w:val="en-US"/>
        </w:rPr>
        <w:t xml:space="preserve"> meeting, </w:t>
      </w:r>
      <w:r w:rsidR="00764120">
        <w:rPr>
          <w:rFonts w:eastAsia="ＭＳ 明朝"/>
          <w:sz w:val="22"/>
          <w:szCs w:val="22"/>
          <w:lang w:val="en-US"/>
        </w:rPr>
        <w:t xml:space="preserve">the new WI on </w:t>
      </w:r>
      <w:r w:rsidR="00484F06">
        <w:rPr>
          <w:rFonts w:eastAsia="ＭＳ 明朝"/>
          <w:sz w:val="22"/>
          <w:szCs w:val="22"/>
          <w:lang w:val="en-US"/>
        </w:rPr>
        <w:t>NR-based access to unlicensed spectrum</w:t>
      </w:r>
      <w:r w:rsidR="00764120">
        <w:rPr>
          <w:rFonts w:eastAsia="ＭＳ 明朝"/>
          <w:sz w:val="22"/>
          <w:szCs w:val="22"/>
          <w:lang w:val="en-US"/>
        </w:rPr>
        <w:t xml:space="preserve"> (</w:t>
      </w:r>
      <w:r w:rsidR="00484F06">
        <w:rPr>
          <w:rFonts w:eastAsia="ＭＳ 明朝"/>
          <w:sz w:val="22"/>
          <w:szCs w:val="22"/>
          <w:lang w:val="en-US"/>
        </w:rPr>
        <w:t>NR-U</w:t>
      </w:r>
      <w:r w:rsidR="00764120">
        <w:rPr>
          <w:rFonts w:eastAsia="ＭＳ 明朝"/>
          <w:sz w:val="22"/>
          <w:szCs w:val="22"/>
          <w:lang w:val="en-US"/>
        </w:rPr>
        <w:t>) was approved</w:t>
      </w:r>
      <w:r w:rsidR="00764120">
        <w:rPr>
          <w:rFonts w:eastAsia="ＭＳ 明朝" w:hint="eastAsia"/>
          <w:sz w:val="22"/>
          <w:szCs w:val="22"/>
          <w:lang w:val="en-US"/>
        </w:rPr>
        <w:t xml:space="preserve"> </w:t>
      </w:r>
      <w:r w:rsidR="00A97218">
        <w:rPr>
          <w:rFonts w:eastAsia="ＭＳ 明朝" w:hint="eastAsia"/>
          <w:sz w:val="22"/>
          <w:szCs w:val="22"/>
          <w:lang w:val="en-US"/>
        </w:rPr>
        <w:t>[1].</w:t>
      </w:r>
      <w:r w:rsidR="00764120">
        <w:rPr>
          <w:rFonts w:eastAsia="ＭＳ 明朝"/>
          <w:sz w:val="22"/>
          <w:szCs w:val="22"/>
          <w:lang w:val="en-US"/>
        </w:rPr>
        <w:t xml:space="preserve"> The objectives of the WI include following RAN1 works</w:t>
      </w:r>
      <w:r w:rsidR="00484F06">
        <w:rPr>
          <w:rFonts w:eastAsia="ＭＳ 明朝"/>
          <w:sz w:val="22"/>
          <w:szCs w:val="22"/>
          <w:lang w:val="en-US"/>
        </w:rPr>
        <w:t xml:space="preserve"> regarding physical layer aspects</w:t>
      </w:r>
      <w:r w:rsidR="00764120">
        <w:rPr>
          <w:rFonts w:eastAsia="ＭＳ 明朝"/>
          <w:sz w:val="22"/>
          <w:szCs w:val="22"/>
          <w:lang w:val="en-US"/>
        </w:rPr>
        <w:t>.</w:t>
      </w:r>
    </w:p>
    <w:tbl>
      <w:tblPr>
        <w:tblStyle w:val="afa"/>
        <w:tblW w:w="0" w:type="auto"/>
        <w:tblLook w:val="04A0" w:firstRow="1" w:lastRow="0" w:firstColumn="1" w:lastColumn="0" w:noHBand="0" w:noVBand="1"/>
      </w:tblPr>
      <w:tblGrid>
        <w:gridCol w:w="9962"/>
      </w:tblGrid>
      <w:tr w:rsidR="00764120" w14:paraId="7FCA0205" w14:textId="77777777" w:rsidTr="00764120">
        <w:tc>
          <w:tcPr>
            <w:tcW w:w="9962" w:type="dxa"/>
          </w:tcPr>
          <w:p w14:paraId="4FB07C99" w14:textId="77777777" w:rsidR="00484F06" w:rsidRPr="00484F06" w:rsidRDefault="00484F06" w:rsidP="00484F06">
            <w:pPr>
              <w:spacing w:before="180"/>
              <w:ind w:left="576" w:hanging="288"/>
              <w:rPr>
                <w:rFonts w:eastAsia="游明朝"/>
                <w:sz w:val="20"/>
              </w:rPr>
            </w:pPr>
            <w:r w:rsidRPr="00484F06">
              <w:rPr>
                <w:rFonts w:eastAsia="游明朝" w:hint="eastAsia"/>
                <w:sz w:val="20"/>
              </w:rPr>
              <w:t>-</w:t>
            </w:r>
            <w:r w:rsidRPr="00484F06">
              <w:rPr>
                <w:rFonts w:eastAsia="游明朝" w:hint="eastAsia"/>
                <w:sz w:val="20"/>
              </w:rPr>
              <w:tab/>
              <w:t>Physical layer aspects</w:t>
            </w:r>
            <w:r w:rsidRPr="00484F06">
              <w:rPr>
                <w:rFonts w:eastAsia="游明朝"/>
                <w:sz w:val="20"/>
              </w:rPr>
              <w:t xml:space="preserve"> including [RAN1]</w:t>
            </w:r>
            <w:r w:rsidRPr="00484F06">
              <w:rPr>
                <w:rFonts w:eastAsia="游明朝" w:hint="eastAsia"/>
                <w:sz w:val="20"/>
              </w:rPr>
              <w:t>:</w:t>
            </w:r>
          </w:p>
          <w:p w14:paraId="40A8CBC7" w14:textId="77777777" w:rsidR="00484F06" w:rsidRPr="00484F06" w:rsidRDefault="00484F06" w:rsidP="00484F06">
            <w:pPr>
              <w:ind w:left="851" w:hanging="284"/>
              <w:rPr>
                <w:rFonts w:eastAsia="游明朝"/>
                <w:sz w:val="20"/>
              </w:rPr>
            </w:pPr>
            <w:r w:rsidRPr="00484F06">
              <w:rPr>
                <w:rFonts w:eastAsia="游明朝" w:hint="eastAsia"/>
                <w:sz w:val="20"/>
              </w:rPr>
              <w:t>-</w:t>
            </w:r>
            <w:r w:rsidRPr="00484F06">
              <w:rPr>
                <w:rFonts w:eastAsia="游明朝" w:hint="eastAsia"/>
                <w:sz w:val="20"/>
              </w:rPr>
              <w:tab/>
            </w:r>
            <w:r w:rsidRPr="00484F06">
              <w:rPr>
                <w:rFonts w:eastAsia="游明朝"/>
                <w:sz w:val="20"/>
              </w:rPr>
              <w:t>Frame structure including single and multiple DL to UL and UL to DL switching points within a shared COT with associated identified LBT requirements (TR Section 7.2.1.3.1).</w:t>
            </w:r>
          </w:p>
          <w:p w14:paraId="269E7519" w14:textId="77777777" w:rsidR="00484F06" w:rsidRPr="00484F06" w:rsidRDefault="00484F06" w:rsidP="00484F06">
            <w:pPr>
              <w:ind w:left="851" w:hanging="284"/>
              <w:rPr>
                <w:rFonts w:eastAsia="游明朝"/>
                <w:sz w:val="20"/>
              </w:rPr>
            </w:pPr>
            <w:r w:rsidRPr="00484F06">
              <w:rPr>
                <w:rFonts w:eastAsia="游明朝"/>
                <w:sz w:val="20"/>
              </w:rPr>
              <w:t>-</w:t>
            </w:r>
            <w:r w:rsidRPr="00484F06">
              <w:rPr>
                <w:rFonts w:eastAsia="游明朝"/>
                <w:sz w:val="20"/>
              </w:rPr>
              <w:tab/>
              <w:t xml:space="preserve">NR-U supports a mode of operation where for a carrier and at least for intra-band CA on serving cells on unlicensed bands, all DL channels / signals can be operated with the same numerology, and all UL channels / signals can be operated with the same numerology. </w:t>
            </w:r>
          </w:p>
          <w:p w14:paraId="27FF17D3" w14:textId="77777777" w:rsidR="00484F06" w:rsidRPr="00484F06" w:rsidRDefault="00484F06" w:rsidP="00484F06">
            <w:pPr>
              <w:ind w:left="851" w:hanging="284"/>
              <w:rPr>
                <w:rFonts w:eastAsia="游明朝"/>
                <w:sz w:val="20"/>
              </w:rPr>
            </w:pPr>
            <w:r w:rsidRPr="00484F06">
              <w:rPr>
                <w:rFonts w:eastAsia="游明朝"/>
                <w:sz w:val="20"/>
              </w:rPr>
              <w:t>-</w:t>
            </w:r>
            <w:r w:rsidRPr="00484F06">
              <w:rPr>
                <w:rFonts w:eastAsia="游明朝"/>
                <w:sz w:val="20"/>
              </w:rPr>
              <w:tab/>
              <w:t>Subcarrier spacing for control and data channels supporting 15kHz, 30kHz, and 60kHz (air-interface perspective; optionality to be discussed separately).</w:t>
            </w:r>
          </w:p>
          <w:p w14:paraId="0041C808" w14:textId="77777777" w:rsidR="00484F06" w:rsidRPr="00484F06" w:rsidRDefault="00484F06" w:rsidP="00484F06">
            <w:pPr>
              <w:ind w:left="851" w:hanging="284"/>
              <w:rPr>
                <w:rFonts w:eastAsia="游明朝"/>
                <w:sz w:val="20"/>
              </w:rPr>
            </w:pPr>
            <w:r w:rsidRPr="00484F06">
              <w:rPr>
                <w:rFonts w:eastAsia="游明朝"/>
                <w:sz w:val="20"/>
              </w:rPr>
              <w:t>-</w:t>
            </w:r>
            <w:r w:rsidRPr="00484F06">
              <w:rPr>
                <w:rFonts w:eastAsia="游明朝"/>
                <w:sz w:val="20"/>
              </w:rPr>
              <w:tab/>
              <w:t>Wide band operation (in integer multiples of 20MHz) for DL and UL for NR-U supported with multiple serving cells, and wideband operation (in integer multiples of 20MHz) for DL and UL for NR-U supported with one serving cell with bandwidth &gt; 20MHz with potential scheduling constraint subject to input from RAN2 and RAN4 on feasibility of operating the wideband carrier when LBT is unsuccessful in one or more LBT subbands within the wideband carrier. For all wide-band operation cases, CCA is performed in units of 20MHz (at least for 5GHz).</w:t>
            </w:r>
          </w:p>
          <w:p w14:paraId="76A38E3B" w14:textId="77777777" w:rsidR="00484F06" w:rsidRPr="00484F06" w:rsidRDefault="00484F06" w:rsidP="00484F06">
            <w:pPr>
              <w:ind w:left="851" w:hanging="284"/>
              <w:rPr>
                <w:rFonts w:eastAsia="游明朝"/>
                <w:sz w:val="20"/>
              </w:rPr>
            </w:pPr>
            <w:r w:rsidRPr="00484F06">
              <w:rPr>
                <w:rFonts w:eastAsia="游明朝"/>
                <w:sz w:val="20"/>
              </w:rPr>
              <w:t>-</w:t>
            </w:r>
            <w:r w:rsidRPr="00484F06">
              <w:rPr>
                <w:rFonts w:eastAsia="游明朝"/>
                <w:sz w:val="20"/>
              </w:rPr>
              <w:tab/>
              <w:t>NR-U Discovery Reference Signal (DRS) containing at least SS/PBCH block burst set transmission and possibly CSI-RS, RMSI-CORESET(s)+PDSCH(s), OSI and paging with properties and extensions from NR Rel-15 in line with the agreements during the study phase (TR 38.889, Section 7.2.1.2). 60kHz based SSB/PBCH block is outside the scope of the WI.</w:t>
            </w:r>
          </w:p>
          <w:p w14:paraId="7B945788" w14:textId="7AACE6C3" w:rsidR="00484F06" w:rsidRPr="00484F06" w:rsidRDefault="00484F06" w:rsidP="00484F06">
            <w:pPr>
              <w:ind w:left="851" w:hanging="284"/>
              <w:rPr>
                <w:rFonts w:eastAsia="游明朝"/>
                <w:sz w:val="20"/>
              </w:rPr>
            </w:pPr>
            <w:r w:rsidRPr="00484F06">
              <w:rPr>
                <w:rFonts w:eastAsia="游明朝"/>
                <w:sz w:val="20"/>
              </w:rPr>
              <w:t>-</w:t>
            </w:r>
            <w:r w:rsidRPr="00484F06">
              <w:rPr>
                <w:rFonts w:eastAsia="游明朝"/>
                <w:sz w:val="20"/>
              </w:rPr>
              <w:tab/>
              <w:t>PRACH including possible extension of PRACH format(s) in line with agreements during the SI phase (TR 38.889, Section 7.2.1.2) to support minimum bandwidth requirement given by regulation. Determine the applicability of Rel-15 NR formats to NR-U operation.</w:t>
            </w:r>
            <w:r>
              <w:rPr>
                <w:rFonts w:eastAsia="游明朝"/>
                <w:sz w:val="20"/>
              </w:rPr>
              <w:t xml:space="preserve"> </w:t>
            </w:r>
            <w:r w:rsidRPr="00484F06">
              <w:rPr>
                <w:rFonts w:eastAsia="游明朝"/>
                <w:sz w:val="20"/>
              </w:rPr>
              <w:t>RAN1 should decide whether 60 kHz subcarrier spacing for PRACH is supported, based on a unified design with 15 kHz and 30 kHz PRACH for meeting occupied channel bandwidth (OCB) requirements.</w:t>
            </w:r>
          </w:p>
          <w:p w14:paraId="04EEEC6E" w14:textId="6E8C5D2F" w:rsidR="00484F06" w:rsidRPr="00484F06" w:rsidRDefault="00484F06" w:rsidP="00484F06">
            <w:pPr>
              <w:ind w:left="851" w:hanging="284"/>
              <w:rPr>
                <w:rFonts w:eastAsia="游明朝"/>
                <w:sz w:val="20"/>
              </w:rPr>
            </w:pPr>
            <w:r w:rsidRPr="00484F06">
              <w:rPr>
                <w:rFonts w:eastAsia="游明朝"/>
                <w:sz w:val="20"/>
              </w:rPr>
              <w:t>-</w:t>
            </w:r>
            <w:r w:rsidRPr="00484F06">
              <w:rPr>
                <w:rFonts w:eastAsia="游明朝"/>
                <w:sz w:val="20"/>
              </w:rPr>
              <w:tab/>
              <w:t>UL control including extension of PUCCH format(s) to support PRB-based frequency block-interlaced transmission and use of Rel-15 NR PUCCH formats 2 and 3 for NR-U operation. Applicability of sub-PRB frequency block-interlaced transmission for 60kHz to be decided by RAN1.</w:t>
            </w:r>
          </w:p>
          <w:p w14:paraId="5CF0DA5A" w14:textId="77777777" w:rsidR="00484F06" w:rsidRPr="00484F06" w:rsidRDefault="00484F06" w:rsidP="00484F06">
            <w:pPr>
              <w:ind w:left="851" w:hanging="284"/>
              <w:rPr>
                <w:rFonts w:eastAsia="游明朝"/>
                <w:sz w:val="20"/>
              </w:rPr>
            </w:pPr>
            <w:r w:rsidRPr="00484F06">
              <w:rPr>
                <w:rFonts w:eastAsia="游明朝"/>
                <w:sz w:val="20"/>
              </w:rPr>
              <w:t>-</w:t>
            </w:r>
            <w:r w:rsidRPr="00484F06">
              <w:rPr>
                <w:rFonts w:eastAsia="游明朝"/>
                <w:sz w:val="20"/>
              </w:rPr>
              <w:tab/>
              <w:t xml:space="preserve">UL data channel including extension of PUSCH to support PRB-based frequency block-interlaced transmission; support of multiple PUSCH(s) starting positions in one or multiple slot(s) depending on the LBT outcome with the understanding that the ending position is indicated by the UL grant; design not requiring the UE to change a granted TBS for a PUSCH transmission depending on the LBT outcome. The necessary PUSCH enhancements based on CP-OFDM. Applicability of sub-PRB frequency block-interlaced transmission for 60kHz to be decided by RAN1. </w:t>
            </w:r>
          </w:p>
          <w:p w14:paraId="1EF596D9" w14:textId="77777777" w:rsidR="00484F06" w:rsidRPr="00484F06" w:rsidRDefault="00484F06" w:rsidP="00484F06">
            <w:pPr>
              <w:ind w:left="851" w:hanging="284"/>
              <w:rPr>
                <w:rFonts w:eastAsia="游明朝"/>
                <w:sz w:val="20"/>
              </w:rPr>
            </w:pPr>
            <w:r w:rsidRPr="00484F06">
              <w:rPr>
                <w:rFonts w:eastAsia="游明朝"/>
                <w:sz w:val="20"/>
              </w:rPr>
              <w:t>-</w:t>
            </w:r>
            <w:r w:rsidRPr="00484F06">
              <w:rPr>
                <w:rFonts w:eastAsia="游明朝"/>
                <w:sz w:val="20"/>
              </w:rPr>
              <w:tab/>
              <w:t>SRS including the introduction of additional flexibility in configuring/triggering SRS in line with agreements during the study phase.</w:t>
            </w:r>
          </w:p>
          <w:p w14:paraId="4EA8C8BD" w14:textId="77777777" w:rsidR="00484F06" w:rsidRPr="00484F06" w:rsidRDefault="00484F06" w:rsidP="00484F06">
            <w:pPr>
              <w:ind w:left="851" w:hanging="284"/>
              <w:rPr>
                <w:rFonts w:eastAsia="游明朝"/>
                <w:sz w:val="20"/>
              </w:rPr>
            </w:pPr>
            <w:r w:rsidRPr="00484F06">
              <w:rPr>
                <w:rFonts w:eastAsia="游明朝"/>
                <w:sz w:val="20"/>
              </w:rPr>
              <w:t>-</w:t>
            </w:r>
            <w:r w:rsidRPr="00484F06">
              <w:rPr>
                <w:rFonts w:eastAsia="游明朝"/>
                <w:sz w:val="20"/>
              </w:rPr>
              <w:tab/>
              <w:t>For DL data channel, support of multiple PDSCH starting positions.</w:t>
            </w:r>
          </w:p>
          <w:p w14:paraId="3C29E68F" w14:textId="77777777" w:rsidR="00484F06" w:rsidRPr="00484F06" w:rsidRDefault="00484F06" w:rsidP="00484F06">
            <w:pPr>
              <w:ind w:left="851" w:hanging="284"/>
              <w:rPr>
                <w:rFonts w:eastAsia="游明朝"/>
                <w:sz w:val="20"/>
              </w:rPr>
            </w:pPr>
            <w:r w:rsidRPr="00484F06">
              <w:rPr>
                <w:rFonts w:eastAsia="游明朝"/>
                <w:sz w:val="20"/>
              </w:rPr>
              <w:lastRenderedPageBreak/>
              <w:t>-</w:t>
            </w:r>
            <w:r w:rsidRPr="00484F06">
              <w:rPr>
                <w:rFonts w:eastAsia="游明朝"/>
                <w:sz w:val="20"/>
              </w:rPr>
              <w:tab/>
              <w:t xml:space="preserve">Mechanism to detect a gNB’s transmission burst in line with </w:t>
            </w:r>
            <w:bookmarkStart w:id="2" w:name="_Hlk532422148"/>
            <w:r w:rsidRPr="00484F06">
              <w:rPr>
                <w:rFonts w:eastAsia="游明朝"/>
                <w:sz w:val="20"/>
              </w:rPr>
              <w:t>the TR 38.889, Section 7.2.1.2</w:t>
            </w:r>
            <w:bookmarkEnd w:id="2"/>
            <w:r w:rsidRPr="00484F06">
              <w:rPr>
                <w:rFonts w:eastAsia="游明朝"/>
                <w:sz w:val="20"/>
              </w:rPr>
              <w:t xml:space="preserve"> related to UE power consumption.</w:t>
            </w:r>
          </w:p>
          <w:p w14:paraId="607EE953" w14:textId="4F5E5EE0" w:rsidR="00764120" w:rsidRPr="00484F06" w:rsidRDefault="00484F06" w:rsidP="00484F06">
            <w:pPr>
              <w:ind w:left="851" w:hanging="284"/>
              <w:rPr>
                <w:rFonts w:eastAsia="游明朝"/>
                <w:sz w:val="20"/>
              </w:rPr>
            </w:pPr>
            <w:r w:rsidRPr="00484F06">
              <w:rPr>
                <w:rFonts w:eastAsia="游明朝"/>
                <w:sz w:val="20"/>
              </w:rPr>
              <w:t>-</w:t>
            </w:r>
            <w:r w:rsidRPr="00484F06">
              <w:rPr>
                <w:rFonts w:eastAsia="游明朝"/>
                <w:sz w:val="20"/>
              </w:rPr>
              <w:tab/>
              <w:t xml:space="preserve">DL control in line with the agreements during the study phase (TR 38.889, Section 7.2.1.2) including extensions allowing dynamic change of the time domain instances in which the UE is expected to receive PDCCH, modifications enabling DRS transmissions without gaps in the time-domain, and indication of time domain COT structure; </w:t>
            </w:r>
          </w:p>
        </w:tc>
      </w:tr>
    </w:tbl>
    <w:p w14:paraId="756E9762" w14:textId="77777777" w:rsidR="00764120" w:rsidRDefault="00764120" w:rsidP="00956F10">
      <w:pPr>
        <w:spacing w:afterLines="50" w:after="120"/>
        <w:jc w:val="both"/>
        <w:rPr>
          <w:rFonts w:eastAsia="ＭＳ 明朝"/>
          <w:sz w:val="22"/>
          <w:szCs w:val="22"/>
          <w:lang w:val="en-US"/>
        </w:rPr>
      </w:pPr>
    </w:p>
    <w:p w14:paraId="631A6163" w14:textId="65F8730C" w:rsidR="00026F45" w:rsidRPr="001012F3" w:rsidRDefault="00796A0F" w:rsidP="00956F10">
      <w:pPr>
        <w:spacing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1012F3" w:rsidRPr="001012F3">
        <w:rPr>
          <w:rFonts w:eastAsia="ＭＳ 明朝" w:hint="eastAsia"/>
          <w:sz w:val="22"/>
          <w:szCs w:val="22"/>
          <w:lang w:val="en-US"/>
        </w:rPr>
        <w:t>discuss</w:t>
      </w:r>
      <w:r w:rsidR="00764120">
        <w:rPr>
          <w:rFonts w:eastAsia="ＭＳ 明朝"/>
          <w:sz w:val="22"/>
          <w:szCs w:val="22"/>
          <w:lang w:val="en-US"/>
        </w:rPr>
        <w:t xml:space="preserve"> on the </w:t>
      </w:r>
      <w:r w:rsidR="00EB58EE">
        <w:rPr>
          <w:rFonts w:eastAsia="ＭＳ 明朝"/>
          <w:sz w:val="22"/>
          <w:szCs w:val="22"/>
          <w:lang w:val="en-US"/>
        </w:rPr>
        <w:t>U</w:t>
      </w:r>
      <w:r w:rsidR="00CB0874">
        <w:rPr>
          <w:rFonts w:eastAsia="ＭＳ 明朝"/>
          <w:sz w:val="22"/>
          <w:szCs w:val="22"/>
          <w:lang w:val="en-US"/>
        </w:rPr>
        <w:t>L</w:t>
      </w:r>
      <w:r w:rsidR="00484F06">
        <w:rPr>
          <w:rFonts w:eastAsia="ＭＳ 明朝"/>
          <w:sz w:val="22"/>
          <w:szCs w:val="22"/>
          <w:lang w:val="en-US"/>
        </w:rPr>
        <w:t xml:space="preserve"> signals and channels for NR-U, including</w:t>
      </w:r>
      <w:r w:rsidR="00BE79F6" w:rsidRPr="00BE79F6">
        <w:t xml:space="preserve"> </w:t>
      </w:r>
      <w:r w:rsidR="00EB58EE">
        <w:t>PUCCH</w:t>
      </w:r>
      <w:r w:rsidR="00497543">
        <w:t>/PUSCH</w:t>
      </w:r>
      <w:r w:rsidR="00EB58EE">
        <w:t xml:space="preserve"> </w:t>
      </w:r>
      <w:r w:rsidR="00FC109B">
        <w:t>design</w:t>
      </w:r>
      <w:r w:rsidR="00EB58EE">
        <w:t xml:space="preserve"> and </w:t>
      </w:r>
      <w:r w:rsidR="00BE79F6" w:rsidRPr="00BE79F6">
        <w:rPr>
          <w:rFonts w:eastAsia="ＭＳ 明朝"/>
          <w:sz w:val="22"/>
          <w:szCs w:val="22"/>
          <w:lang w:val="en-US"/>
        </w:rPr>
        <w:t>P</w:t>
      </w:r>
      <w:r w:rsidR="00EB58EE">
        <w:rPr>
          <w:rFonts w:eastAsia="ＭＳ 明朝"/>
          <w:sz w:val="22"/>
          <w:szCs w:val="22"/>
          <w:lang w:val="en-US"/>
        </w:rPr>
        <w:t>U</w:t>
      </w:r>
      <w:r w:rsidR="00BE79F6" w:rsidRPr="00BE79F6">
        <w:rPr>
          <w:rFonts w:eastAsia="ＭＳ 明朝"/>
          <w:sz w:val="22"/>
          <w:szCs w:val="22"/>
          <w:lang w:val="en-US"/>
        </w:rPr>
        <w:t xml:space="preserve">SCH transmission at the beginning of </w:t>
      </w:r>
      <w:r w:rsidR="00EB58EE">
        <w:rPr>
          <w:rFonts w:eastAsia="ＭＳ 明朝"/>
          <w:sz w:val="22"/>
          <w:szCs w:val="22"/>
          <w:lang w:val="en-US"/>
        </w:rPr>
        <w:t>U</w:t>
      </w:r>
      <w:r w:rsidR="00BE79F6" w:rsidRPr="00BE79F6">
        <w:rPr>
          <w:rFonts w:eastAsia="ＭＳ 明朝"/>
          <w:sz w:val="22"/>
          <w:szCs w:val="22"/>
          <w:lang w:val="en-US"/>
        </w:rPr>
        <w:t>L transmission burs</w:t>
      </w:r>
      <w:r w:rsidR="00FC109B">
        <w:rPr>
          <w:rFonts w:eastAsia="ＭＳ 明朝"/>
          <w:sz w:val="22"/>
          <w:szCs w:val="22"/>
          <w:lang w:val="en-US"/>
        </w:rPr>
        <w:t>t</w:t>
      </w:r>
      <w:r w:rsidR="001012F3" w:rsidRPr="001012F3">
        <w:rPr>
          <w:rFonts w:eastAsia="ＭＳ 明朝" w:hint="eastAsia"/>
          <w:sz w:val="22"/>
          <w:szCs w:val="22"/>
          <w:lang w:val="en-US"/>
        </w:rPr>
        <w:t xml:space="preserve">. </w:t>
      </w:r>
    </w:p>
    <w:p w14:paraId="0DDCE2F2" w14:textId="7B05519B" w:rsidR="009517C5" w:rsidRPr="009517C5" w:rsidRDefault="00FC109B" w:rsidP="00E903A9">
      <w:pPr>
        <w:pStyle w:val="1"/>
        <w:numPr>
          <w:ilvl w:val="0"/>
          <w:numId w:val="6"/>
        </w:numPr>
        <w:spacing w:before="180" w:after="120"/>
        <w:rPr>
          <w:rFonts w:eastAsia="ＭＳ 明朝"/>
          <w:b/>
          <w:bCs/>
          <w:szCs w:val="24"/>
          <w:lang w:val="en-US"/>
        </w:rPr>
      </w:pPr>
      <w:r>
        <w:rPr>
          <w:rFonts w:eastAsia="ＭＳ 明朝"/>
          <w:b/>
          <w:bCs/>
          <w:szCs w:val="24"/>
          <w:lang w:val="en-US"/>
        </w:rPr>
        <w:t>PUCCH design enhancement for NR-U</w:t>
      </w:r>
    </w:p>
    <w:p w14:paraId="4632555E" w14:textId="7FECF9E0" w:rsidR="00BB00D9" w:rsidRDefault="00484F06" w:rsidP="00C517C8">
      <w:pPr>
        <w:spacing w:afterLines="50" w:after="120"/>
        <w:rPr>
          <w:sz w:val="22"/>
          <w:szCs w:val="22"/>
          <w:lang w:val="en-US"/>
        </w:rPr>
      </w:pPr>
      <w:r>
        <w:rPr>
          <w:sz w:val="22"/>
          <w:szCs w:val="22"/>
          <w:lang w:val="en-US"/>
        </w:rPr>
        <w:t>During the NR-U</w:t>
      </w:r>
      <w:r w:rsidR="00BB00D9">
        <w:rPr>
          <w:sz w:val="22"/>
          <w:szCs w:val="22"/>
          <w:lang w:val="en-US"/>
        </w:rPr>
        <w:t xml:space="preserve"> SI, </w:t>
      </w:r>
      <w:r w:rsidR="00FC109B">
        <w:rPr>
          <w:sz w:val="22"/>
          <w:szCs w:val="22"/>
          <w:lang w:val="en-US"/>
        </w:rPr>
        <w:t>PUCCH design enhancement</w:t>
      </w:r>
      <w:r>
        <w:rPr>
          <w:sz w:val="22"/>
          <w:szCs w:val="22"/>
          <w:lang w:val="en-US"/>
        </w:rPr>
        <w:t xml:space="preserve"> </w:t>
      </w:r>
      <w:r w:rsidR="00BB00D9">
        <w:rPr>
          <w:sz w:val="22"/>
          <w:szCs w:val="22"/>
          <w:lang w:val="en-US"/>
        </w:rPr>
        <w:t xml:space="preserve">had been discussed and following </w:t>
      </w:r>
      <w:r>
        <w:rPr>
          <w:sz w:val="22"/>
          <w:szCs w:val="22"/>
          <w:lang w:val="en-US"/>
        </w:rPr>
        <w:t>is captured in the TR38.889</w:t>
      </w:r>
      <w:r w:rsidR="00BB00D9">
        <w:rPr>
          <w:sz w:val="22"/>
          <w:szCs w:val="22"/>
          <w:lang w:val="en-US"/>
        </w:rPr>
        <w:t xml:space="preserve"> [2].</w:t>
      </w:r>
    </w:p>
    <w:tbl>
      <w:tblPr>
        <w:tblStyle w:val="afa"/>
        <w:tblW w:w="0" w:type="auto"/>
        <w:tblLook w:val="04A0" w:firstRow="1" w:lastRow="0" w:firstColumn="1" w:lastColumn="0" w:noHBand="0" w:noVBand="1"/>
      </w:tblPr>
      <w:tblGrid>
        <w:gridCol w:w="9962"/>
      </w:tblGrid>
      <w:tr w:rsidR="00BB00D9" w14:paraId="31B50C5D" w14:textId="77777777" w:rsidTr="00BB00D9">
        <w:tc>
          <w:tcPr>
            <w:tcW w:w="9962" w:type="dxa"/>
          </w:tcPr>
          <w:p w14:paraId="1FD2432B" w14:textId="77777777" w:rsidR="00FC109B" w:rsidRPr="00FC109B" w:rsidRDefault="00FC109B" w:rsidP="00FC109B">
            <w:pPr>
              <w:rPr>
                <w:sz w:val="20"/>
              </w:rPr>
            </w:pPr>
            <w:r w:rsidRPr="00FC109B">
              <w:rPr>
                <w:sz w:val="20"/>
              </w:rPr>
              <w:t>Support for Rel-15 NR PUCCH formats can be considered, however, not necessarily all Release 15 NR PUCCH formats are applicable to NR-U. It has been identified that legacy PUCCH formats PF2 and PF3 are beneficial for NR-U for the scenario of contiguous allocations due to the fact that they may be configured with bandwidth that meets the minimum temporal allowance of 2 MHz (12/6/3 PRBs for 15/30/60 kHz SCS). It has been identified that legacy PUCCH formats PF0/1/4 are not well-suited for NR-U for the scenario of contiguous allocations since they support only single PRB.</w:t>
            </w:r>
          </w:p>
          <w:p w14:paraId="60678E3A" w14:textId="77777777" w:rsidR="00FC109B" w:rsidRPr="00FC109B" w:rsidRDefault="00FC109B" w:rsidP="00FC109B">
            <w:pPr>
              <w:spacing w:after="0"/>
              <w:rPr>
                <w:sz w:val="20"/>
              </w:rPr>
            </w:pPr>
            <w:r w:rsidRPr="00FC109B">
              <w:rPr>
                <w:sz w:val="20"/>
              </w:rPr>
              <w:t xml:space="preserve">When new block interlace waveform for PUCCH is to be defined, it is beneficial to use the same block interlace structure for PUCCH and PUSCH. </w:t>
            </w:r>
          </w:p>
          <w:p w14:paraId="7FC83D74" w14:textId="77777777" w:rsidR="00FC109B" w:rsidRPr="00FC109B" w:rsidRDefault="00FC109B" w:rsidP="00FC109B">
            <w:pPr>
              <w:snapToGrid w:val="0"/>
              <w:spacing w:after="120"/>
              <w:contextualSpacing/>
              <w:rPr>
                <w:sz w:val="20"/>
              </w:rPr>
            </w:pPr>
            <w:r w:rsidRPr="00FC109B">
              <w:rPr>
                <w:sz w:val="20"/>
              </w:rPr>
              <w:t>It has been identified that enhancement of one or more legacy PUCCH formats is feasible to support block interlaced PUCCH transmission. There is consensus that enhanced PUCCH with both short and long duration is beneficial for NR-U; however, no consensus has been achieved about which legacy PUCCH format(s) should be the starting point for an enhanced PUCCH design. Some sources suggest introducing just one or two new enhanced PUCCH formats, while other sources suggest enhancing all or almost all legacy PUCCH formats (PF0,1,2,3,4). Regardless of which format(s) is(are) chosen as a starting point for enhancement, the following common aspects have been identified as important to consider in the detailed design of the enhanced PUCCH format(s) when specifications are developed:</w:t>
            </w:r>
          </w:p>
          <w:p w14:paraId="3FEA8B0B" w14:textId="77777777" w:rsidR="00FC109B" w:rsidRPr="00FC109B" w:rsidRDefault="00FC109B" w:rsidP="00FC109B">
            <w:pPr>
              <w:pStyle w:val="B1"/>
              <w:rPr>
                <w:sz w:val="20"/>
              </w:rPr>
            </w:pPr>
            <w:r w:rsidRPr="00FC109B">
              <w:rPr>
                <w:sz w:val="20"/>
              </w:rPr>
              <w:t>-</w:t>
            </w:r>
            <w:r w:rsidRPr="00FC109B">
              <w:rPr>
                <w:sz w:val="20"/>
              </w:rPr>
              <w:tab/>
              <w:t>Flexible number of OFDM symbols</w:t>
            </w:r>
          </w:p>
          <w:p w14:paraId="23E5013C" w14:textId="77777777" w:rsidR="00FC109B" w:rsidRPr="00FC109B" w:rsidRDefault="00FC109B" w:rsidP="00FC109B">
            <w:pPr>
              <w:pStyle w:val="B2"/>
              <w:rPr>
                <w:sz w:val="20"/>
              </w:rPr>
            </w:pPr>
            <w:r w:rsidRPr="00FC109B">
              <w:rPr>
                <w:sz w:val="20"/>
              </w:rPr>
              <w:t>-</w:t>
            </w:r>
            <w:r w:rsidRPr="00FC109B">
              <w:rPr>
                <w:sz w:val="20"/>
              </w:rPr>
              <w:tab/>
              <w:t>Short duration, e.g., 1 or 2 OFDM symbols</w:t>
            </w:r>
          </w:p>
          <w:p w14:paraId="236D2547" w14:textId="77777777" w:rsidR="00FC109B" w:rsidRPr="00FC109B" w:rsidRDefault="00FC109B" w:rsidP="00FC109B">
            <w:pPr>
              <w:pStyle w:val="B2"/>
              <w:rPr>
                <w:sz w:val="20"/>
              </w:rPr>
            </w:pPr>
            <w:r w:rsidRPr="00FC109B">
              <w:rPr>
                <w:sz w:val="20"/>
              </w:rPr>
              <w:t>-</w:t>
            </w:r>
            <w:r w:rsidRPr="00FC109B">
              <w:rPr>
                <w:sz w:val="20"/>
              </w:rPr>
              <w:tab/>
              <w:t>Long duration, e.g., 4 – 14 OFDM symbols</w:t>
            </w:r>
          </w:p>
          <w:p w14:paraId="2D3BDD66" w14:textId="77777777" w:rsidR="00FC109B" w:rsidRPr="00FC109B" w:rsidRDefault="00FC109B" w:rsidP="00FC109B">
            <w:pPr>
              <w:pStyle w:val="B1"/>
              <w:rPr>
                <w:sz w:val="20"/>
              </w:rPr>
            </w:pPr>
            <w:r w:rsidRPr="00FC109B">
              <w:rPr>
                <w:sz w:val="20"/>
              </w:rPr>
              <w:t>-</w:t>
            </w:r>
            <w:r w:rsidRPr="00FC109B">
              <w:rPr>
                <w:sz w:val="20"/>
              </w:rPr>
              <w:tab/>
              <w:t>Flexible UCI payload</w:t>
            </w:r>
          </w:p>
          <w:p w14:paraId="6CA96C44" w14:textId="77777777" w:rsidR="00FC109B" w:rsidRPr="00FC109B" w:rsidRDefault="00FC109B" w:rsidP="00FC109B">
            <w:pPr>
              <w:pStyle w:val="B2"/>
              <w:rPr>
                <w:sz w:val="20"/>
              </w:rPr>
            </w:pPr>
            <w:r w:rsidRPr="00FC109B">
              <w:rPr>
                <w:sz w:val="20"/>
              </w:rPr>
              <w:t>-</w:t>
            </w:r>
            <w:r w:rsidRPr="00FC109B">
              <w:rPr>
                <w:sz w:val="20"/>
              </w:rPr>
              <w:tab/>
              <w:t>Small payload, e.g., 1 or 2 bit</w:t>
            </w:r>
          </w:p>
          <w:p w14:paraId="3AAB6138" w14:textId="77777777" w:rsidR="00FC109B" w:rsidRPr="00FC109B" w:rsidRDefault="00FC109B" w:rsidP="00FC109B">
            <w:pPr>
              <w:pStyle w:val="B2"/>
              <w:rPr>
                <w:sz w:val="20"/>
              </w:rPr>
            </w:pPr>
            <w:r w:rsidRPr="00FC109B">
              <w:rPr>
                <w:sz w:val="20"/>
              </w:rPr>
              <w:t>-</w:t>
            </w:r>
            <w:r w:rsidRPr="00FC109B">
              <w:rPr>
                <w:sz w:val="20"/>
              </w:rPr>
              <w:tab/>
              <w:t>Larger payloads, e.g., &gt; 2 bits</w:t>
            </w:r>
          </w:p>
          <w:p w14:paraId="5BBD6634" w14:textId="77777777" w:rsidR="00FC109B" w:rsidRPr="00FC109B" w:rsidRDefault="00FC109B" w:rsidP="00FC109B">
            <w:pPr>
              <w:pStyle w:val="B1"/>
              <w:rPr>
                <w:sz w:val="20"/>
              </w:rPr>
            </w:pPr>
            <w:r w:rsidRPr="00FC109B">
              <w:rPr>
                <w:sz w:val="20"/>
              </w:rPr>
              <w:t>-</w:t>
            </w:r>
            <w:r w:rsidRPr="00FC109B">
              <w:rPr>
                <w:sz w:val="20"/>
              </w:rPr>
              <w:tab/>
              <w:t>Coding of UCI payload, e.g.,</w:t>
            </w:r>
          </w:p>
          <w:p w14:paraId="0C06AFF6" w14:textId="77777777" w:rsidR="00FC109B" w:rsidRPr="00FC109B" w:rsidRDefault="00FC109B" w:rsidP="00FC109B">
            <w:pPr>
              <w:pStyle w:val="B2"/>
              <w:rPr>
                <w:sz w:val="20"/>
              </w:rPr>
            </w:pPr>
            <w:r w:rsidRPr="00FC109B">
              <w:rPr>
                <w:sz w:val="20"/>
              </w:rPr>
              <w:t>-</w:t>
            </w:r>
            <w:r w:rsidRPr="00FC109B">
              <w:rPr>
                <w:sz w:val="20"/>
              </w:rPr>
              <w:tab/>
              <w:t>Extend legacy (NR Rel-15) PUCCH encoder to handle small payloads</w:t>
            </w:r>
          </w:p>
          <w:p w14:paraId="77992663" w14:textId="77777777" w:rsidR="00FC109B" w:rsidRPr="00FC109B" w:rsidRDefault="00FC109B" w:rsidP="00FC109B">
            <w:pPr>
              <w:pStyle w:val="B2"/>
              <w:rPr>
                <w:sz w:val="20"/>
              </w:rPr>
            </w:pPr>
            <w:r w:rsidRPr="00FC109B">
              <w:rPr>
                <w:sz w:val="20"/>
              </w:rPr>
              <w:t>-</w:t>
            </w:r>
            <w:r w:rsidRPr="00FC109B">
              <w:rPr>
                <w:sz w:val="20"/>
              </w:rPr>
              <w:tab/>
              <w:t>Repetition of coded UCI bits across PRBs of an interlace</w:t>
            </w:r>
          </w:p>
          <w:p w14:paraId="4962A2BE" w14:textId="77777777" w:rsidR="00FC109B" w:rsidRPr="00FC109B" w:rsidRDefault="00FC109B" w:rsidP="00FC109B">
            <w:pPr>
              <w:pStyle w:val="B2"/>
              <w:rPr>
                <w:sz w:val="20"/>
              </w:rPr>
            </w:pPr>
            <w:r w:rsidRPr="00FC109B">
              <w:rPr>
                <w:sz w:val="20"/>
              </w:rPr>
              <w:t>-</w:t>
            </w:r>
            <w:r w:rsidRPr="00FC109B">
              <w:rPr>
                <w:sz w:val="20"/>
              </w:rPr>
              <w:tab/>
              <w:t>UCI Codebits over all PRBs, i.e. no repetition coding.</w:t>
            </w:r>
          </w:p>
          <w:p w14:paraId="680A39BF" w14:textId="77777777" w:rsidR="00FC109B" w:rsidRPr="00FC109B" w:rsidRDefault="00FC109B" w:rsidP="00FC109B">
            <w:pPr>
              <w:pStyle w:val="B1"/>
              <w:rPr>
                <w:sz w:val="20"/>
              </w:rPr>
            </w:pPr>
            <w:r w:rsidRPr="00FC109B">
              <w:rPr>
                <w:sz w:val="20"/>
              </w:rPr>
              <w:t>-</w:t>
            </w:r>
            <w:r w:rsidRPr="00FC109B">
              <w:rPr>
                <w:sz w:val="20"/>
              </w:rPr>
              <w:tab/>
              <w:t>Number of supported PUCCH formats</w:t>
            </w:r>
          </w:p>
          <w:p w14:paraId="6B5655B6" w14:textId="77777777" w:rsidR="00FC109B" w:rsidRPr="00FC109B" w:rsidRDefault="00FC109B" w:rsidP="00FC109B">
            <w:pPr>
              <w:pStyle w:val="B1"/>
              <w:rPr>
                <w:sz w:val="20"/>
              </w:rPr>
            </w:pPr>
            <w:r w:rsidRPr="00FC109B">
              <w:rPr>
                <w:sz w:val="20"/>
              </w:rPr>
              <w:t>-</w:t>
            </w:r>
            <w:r w:rsidRPr="00FC109B">
              <w:rPr>
                <w:sz w:val="20"/>
              </w:rPr>
              <w:tab/>
              <w:t>Support for user multiplexing of both UCI payload and DMRS on an interlace, e.g.,</w:t>
            </w:r>
          </w:p>
          <w:p w14:paraId="6A231496" w14:textId="77777777" w:rsidR="00FC109B" w:rsidRPr="00FC109B" w:rsidRDefault="00FC109B" w:rsidP="00FC109B">
            <w:pPr>
              <w:pStyle w:val="B2"/>
              <w:rPr>
                <w:sz w:val="20"/>
              </w:rPr>
            </w:pPr>
            <w:r w:rsidRPr="00FC109B">
              <w:rPr>
                <w:sz w:val="20"/>
              </w:rPr>
              <w:t>-</w:t>
            </w:r>
            <w:r w:rsidRPr="00FC109B">
              <w:rPr>
                <w:sz w:val="20"/>
              </w:rPr>
              <w:tab/>
              <w:t>OCCs</w:t>
            </w:r>
          </w:p>
          <w:p w14:paraId="5ED9A6DE" w14:textId="77777777" w:rsidR="00FC109B" w:rsidRPr="00FC109B" w:rsidRDefault="00FC109B" w:rsidP="00FC109B">
            <w:pPr>
              <w:pStyle w:val="B2"/>
              <w:rPr>
                <w:sz w:val="20"/>
              </w:rPr>
            </w:pPr>
            <w:r w:rsidRPr="00FC109B">
              <w:rPr>
                <w:sz w:val="20"/>
              </w:rPr>
              <w:t>-</w:t>
            </w:r>
            <w:r w:rsidRPr="00FC109B">
              <w:rPr>
                <w:sz w:val="20"/>
              </w:rPr>
              <w:tab/>
              <w:t>Cyclic shifts</w:t>
            </w:r>
          </w:p>
          <w:p w14:paraId="5EE36D76" w14:textId="77777777" w:rsidR="00FC109B" w:rsidRPr="00FC109B" w:rsidRDefault="00FC109B" w:rsidP="00FC109B">
            <w:pPr>
              <w:pStyle w:val="B2"/>
              <w:rPr>
                <w:sz w:val="20"/>
              </w:rPr>
            </w:pPr>
            <w:r w:rsidRPr="00FC109B">
              <w:rPr>
                <w:sz w:val="20"/>
              </w:rPr>
              <w:t>-</w:t>
            </w:r>
            <w:r w:rsidRPr="00FC109B">
              <w:rPr>
                <w:sz w:val="20"/>
              </w:rPr>
              <w:tab/>
              <w:t>FDM within an interlace</w:t>
            </w:r>
          </w:p>
          <w:p w14:paraId="55EB2766" w14:textId="77777777" w:rsidR="00FC109B" w:rsidRPr="00FC109B" w:rsidRDefault="00FC109B" w:rsidP="00FC109B">
            <w:pPr>
              <w:pStyle w:val="B1"/>
              <w:rPr>
                <w:sz w:val="20"/>
              </w:rPr>
            </w:pPr>
            <w:r w:rsidRPr="00FC109B">
              <w:rPr>
                <w:sz w:val="20"/>
              </w:rPr>
              <w:lastRenderedPageBreak/>
              <w:t>-</w:t>
            </w:r>
            <w:r w:rsidRPr="00FC109B">
              <w:rPr>
                <w:sz w:val="20"/>
              </w:rPr>
              <w:tab/>
              <w:t>Multiplexing method of UCI payload and DMRS, e.g,</w:t>
            </w:r>
          </w:p>
          <w:p w14:paraId="39536499" w14:textId="77777777" w:rsidR="00FC109B" w:rsidRPr="00FC109B" w:rsidRDefault="00FC109B" w:rsidP="00FC109B">
            <w:pPr>
              <w:pStyle w:val="B2"/>
              <w:rPr>
                <w:sz w:val="20"/>
              </w:rPr>
            </w:pPr>
            <w:r w:rsidRPr="00FC109B">
              <w:rPr>
                <w:sz w:val="20"/>
              </w:rPr>
              <w:t>-</w:t>
            </w:r>
            <w:r w:rsidRPr="00FC109B">
              <w:rPr>
                <w:sz w:val="20"/>
              </w:rPr>
              <w:tab/>
              <w:t xml:space="preserve">TDM </w:t>
            </w:r>
          </w:p>
          <w:p w14:paraId="4F4714AD" w14:textId="77777777" w:rsidR="00FC109B" w:rsidRPr="00FC109B" w:rsidRDefault="00FC109B" w:rsidP="00FC109B">
            <w:pPr>
              <w:pStyle w:val="B2"/>
              <w:rPr>
                <w:sz w:val="20"/>
              </w:rPr>
            </w:pPr>
            <w:r w:rsidRPr="00FC109B">
              <w:rPr>
                <w:sz w:val="20"/>
              </w:rPr>
              <w:t>-</w:t>
            </w:r>
            <w:r w:rsidRPr="00FC109B">
              <w:rPr>
                <w:sz w:val="20"/>
              </w:rPr>
              <w:tab/>
              <w:t>FDM</w:t>
            </w:r>
          </w:p>
          <w:p w14:paraId="74F11B8B" w14:textId="77777777" w:rsidR="00FC109B" w:rsidRPr="00FC109B" w:rsidRDefault="00FC109B" w:rsidP="00FC109B">
            <w:pPr>
              <w:pStyle w:val="B1"/>
              <w:rPr>
                <w:sz w:val="20"/>
              </w:rPr>
            </w:pPr>
            <w:r w:rsidRPr="00FC109B">
              <w:rPr>
                <w:sz w:val="20"/>
              </w:rPr>
              <w:t>-</w:t>
            </w:r>
            <w:r w:rsidRPr="00FC109B">
              <w:rPr>
                <w:sz w:val="20"/>
              </w:rPr>
              <w:tab/>
              <w:t>Mechanism to control PAPR, e.g.,</w:t>
            </w:r>
          </w:p>
          <w:p w14:paraId="60BA9682" w14:textId="77777777" w:rsidR="00FC109B" w:rsidRPr="00FC109B" w:rsidRDefault="00FC109B" w:rsidP="00FC109B">
            <w:pPr>
              <w:pStyle w:val="B2"/>
              <w:rPr>
                <w:sz w:val="20"/>
              </w:rPr>
            </w:pPr>
            <w:r w:rsidRPr="00FC109B">
              <w:rPr>
                <w:sz w:val="20"/>
              </w:rPr>
              <w:t>-</w:t>
            </w:r>
            <w:r w:rsidRPr="00FC109B">
              <w:rPr>
                <w:sz w:val="20"/>
              </w:rPr>
              <w:tab/>
              <w:t>OCC cycling</w:t>
            </w:r>
          </w:p>
          <w:p w14:paraId="712CF288" w14:textId="77777777" w:rsidR="00FC109B" w:rsidRPr="00FC109B" w:rsidRDefault="00FC109B" w:rsidP="00FC109B">
            <w:pPr>
              <w:pStyle w:val="B2"/>
              <w:rPr>
                <w:sz w:val="20"/>
              </w:rPr>
            </w:pPr>
            <w:r w:rsidRPr="00FC109B">
              <w:rPr>
                <w:sz w:val="20"/>
              </w:rPr>
              <w:t>-</w:t>
            </w:r>
            <w:r w:rsidRPr="00FC109B">
              <w:rPr>
                <w:sz w:val="20"/>
              </w:rPr>
              <w:tab/>
              <w:t>Bit level processing</w:t>
            </w:r>
          </w:p>
          <w:p w14:paraId="64614E87" w14:textId="77777777" w:rsidR="00FC109B" w:rsidRPr="00FC109B" w:rsidRDefault="00FC109B" w:rsidP="00FC109B">
            <w:pPr>
              <w:pStyle w:val="B2"/>
              <w:rPr>
                <w:sz w:val="20"/>
              </w:rPr>
            </w:pPr>
            <w:r w:rsidRPr="00FC109B">
              <w:rPr>
                <w:sz w:val="20"/>
              </w:rPr>
              <w:t>-</w:t>
            </w:r>
            <w:r w:rsidRPr="00FC109B">
              <w:rPr>
                <w:sz w:val="20"/>
              </w:rPr>
              <w:tab/>
              <w:t>PRB level processing</w:t>
            </w:r>
          </w:p>
          <w:p w14:paraId="040E8C74" w14:textId="77777777" w:rsidR="00FC109B" w:rsidRPr="00FC109B" w:rsidRDefault="00FC109B" w:rsidP="00FC109B">
            <w:pPr>
              <w:pStyle w:val="B2"/>
              <w:rPr>
                <w:sz w:val="20"/>
              </w:rPr>
            </w:pPr>
            <w:r w:rsidRPr="00FC109B">
              <w:rPr>
                <w:sz w:val="20"/>
              </w:rPr>
              <w:t>-</w:t>
            </w:r>
            <w:r w:rsidRPr="00FC109B">
              <w:rPr>
                <w:sz w:val="20"/>
              </w:rPr>
              <w:tab/>
              <w:t>Sequence hopping</w:t>
            </w:r>
          </w:p>
          <w:p w14:paraId="3D2EF7D6" w14:textId="77777777" w:rsidR="00FC109B" w:rsidRPr="00FC109B" w:rsidRDefault="00FC109B" w:rsidP="00FC109B">
            <w:pPr>
              <w:pStyle w:val="B1"/>
              <w:rPr>
                <w:sz w:val="20"/>
              </w:rPr>
            </w:pPr>
            <w:r w:rsidRPr="00FC109B">
              <w:rPr>
                <w:sz w:val="20"/>
              </w:rPr>
              <w:t>-</w:t>
            </w:r>
            <w:r w:rsidRPr="00FC109B">
              <w:rPr>
                <w:sz w:val="20"/>
              </w:rPr>
              <w:tab/>
              <w:t>PUCCH waveform, e.g.,</w:t>
            </w:r>
          </w:p>
          <w:p w14:paraId="4DE6A156" w14:textId="77777777" w:rsidR="00FC109B" w:rsidRPr="00FC109B" w:rsidRDefault="00FC109B" w:rsidP="00FC109B">
            <w:pPr>
              <w:pStyle w:val="B2"/>
              <w:rPr>
                <w:sz w:val="20"/>
              </w:rPr>
            </w:pPr>
            <w:r w:rsidRPr="00FC109B">
              <w:rPr>
                <w:sz w:val="20"/>
              </w:rPr>
              <w:t>-</w:t>
            </w:r>
            <w:r w:rsidRPr="00FC109B">
              <w:rPr>
                <w:sz w:val="20"/>
              </w:rPr>
              <w:tab/>
              <w:t>CP-OFDM</w:t>
            </w:r>
          </w:p>
          <w:p w14:paraId="23C83CDB" w14:textId="77777777" w:rsidR="00FC109B" w:rsidRPr="00FC109B" w:rsidRDefault="00FC109B" w:rsidP="00FC109B">
            <w:pPr>
              <w:pStyle w:val="B2"/>
              <w:rPr>
                <w:sz w:val="20"/>
              </w:rPr>
            </w:pPr>
            <w:r w:rsidRPr="00FC109B">
              <w:rPr>
                <w:sz w:val="20"/>
              </w:rPr>
              <w:t>-</w:t>
            </w:r>
            <w:r w:rsidRPr="00FC109B">
              <w:rPr>
                <w:sz w:val="20"/>
              </w:rPr>
              <w:tab/>
              <w:t>DFT-s-OFDM</w:t>
            </w:r>
          </w:p>
          <w:p w14:paraId="53D36484" w14:textId="77777777" w:rsidR="00FC109B" w:rsidRPr="00FC109B" w:rsidRDefault="00FC109B" w:rsidP="00FC109B">
            <w:pPr>
              <w:pStyle w:val="B1"/>
              <w:rPr>
                <w:sz w:val="20"/>
              </w:rPr>
            </w:pPr>
            <w:r w:rsidRPr="00FC109B">
              <w:rPr>
                <w:sz w:val="20"/>
              </w:rPr>
              <w:t>-</w:t>
            </w:r>
            <w:r w:rsidRPr="00FC109B">
              <w:rPr>
                <w:sz w:val="20"/>
              </w:rPr>
              <w:tab/>
              <w:t>Performance, e.g.,</w:t>
            </w:r>
          </w:p>
          <w:p w14:paraId="6FC3F650" w14:textId="77777777" w:rsidR="00FC109B" w:rsidRPr="00FC109B" w:rsidRDefault="00FC109B" w:rsidP="00FC109B">
            <w:pPr>
              <w:pStyle w:val="B2"/>
              <w:rPr>
                <w:sz w:val="20"/>
              </w:rPr>
            </w:pPr>
            <w:r w:rsidRPr="00FC109B">
              <w:rPr>
                <w:sz w:val="20"/>
              </w:rPr>
              <w:t>-</w:t>
            </w:r>
            <w:r w:rsidRPr="00FC109B">
              <w:rPr>
                <w:sz w:val="20"/>
              </w:rPr>
              <w:tab/>
              <w:t>Required SNR to achieve a target BLER</w:t>
            </w:r>
          </w:p>
          <w:p w14:paraId="4BCD5D83" w14:textId="77777777" w:rsidR="00FC109B" w:rsidRPr="00FC109B" w:rsidRDefault="00FC109B" w:rsidP="00FC109B">
            <w:pPr>
              <w:pStyle w:val="B2"/>
              <w:rPr>
                <w:sz w:val="20"/>
              </w:rPr>
            </w:pPr>
            <w:r w:rsidRPr="00FC109B">
              <w:rPr>
                <w:sz w:val="20"/>
              </w:rPr>
              <w:t>-</w:t>
            </w:r>
            <w:r w:rsidRPr="00FC109B">
              <w:rPr>
                <w:sz w:val="20"/>
              </w:rPr>
              <w:tab/>
              <w:t>Required SNR to achieve target ACK to NACK rate, NACK to ACK rate and DTX to ACK rate</w:t>
            </w:r>
          </w:p>
          <w:p w14:paraId="33F3F970" w14:textId="0261C575" w:rsidR="00BB00D9" w:rsidRPr="00FC109B" w:rsidRDefault="00FC109B" w:rsidP="00FC109B">
            <w:pPr>
              <w:pStyle w:val="B2"/>
              <w:rPr>
                <w:sz w:val="20"/>
              </w:rPr>
            </w:pPr>
            <w:r w:rsidRPr="00FC109B">
              <w:rPr>
                <w:sz w:val="20"/>
              </w:rPr>
              <w:t>-</w:t>
            </w:r>
            <w:r w:rsidRPr="00FC109B">
              <w:rPr>
                <w:sz w:val="20"/>
              </w:rPr>
              <w:tab/>
              <w:t>Coverage considering CM/PAPR</w:t>
            </w:r>
          </w:p>
        </w:tc>
      </w:tr>
    </w:tbl>
    <w:p w14:paraId="1BF53B96" w14:textId="2E4B52BB" w:rsidR="004D0495" w:rsidRDefault="004D0495" w:rsidP="00C517C8">
      <w:pPr>
        <w:spacing w:afterLines="50" w:after="120"/>
        <w:rPr>
          <w:sz w:val="22"/>
          <w:szCs w:val="22"/>
          <w:lang w:val="en-US"/>
        </w:rPr>
      </w:pPr>
    </w:p>
    <w:p w14:paraId="360058B5" w14:textId="72E1159F" w:rsidR="00D809CD" w:rsidRPr="00B41E2A" w:rsidRDefault="00DE7F96" w:rsidP="00F93FA0">
      <w:pPr>
        <w:spacing w:afterLines="50" w:after="120"/>
        <w:rPr>
          <w:sz w:val="22"/>
          <w:szCs w:val="22"/>
        </w:rPr>
      </w:pPr>
      <w:r>
        <w:rPr>
          <w:sz w:val="22"/>
          <w:szCs w:val="22"/>
          <w:lang w:val="en-US"/>
        </w:rPr>
        <w:t>As i</w:t>
      </w:r>
      <w:r w:rsidR="007E18AA">
        <w:rPr>
          <w:rFonts w:hint="eastAsia"/>
          <w:sz w:val="22"/>
          <w:szCs w:val="22"/>
          <w:lang w:val="en-US"/>
        </w:rPr>
        <w:t xml:space="preserve">n </w:t>
      </w:r>
      <w:r w:rsidR="007E18AA">
        <w:rPr>
          <w:sz w:val="22"/>
          <w:szCs w:val="22"/>
          <w:lang w:val="en-US"/>
        </w:rPr>
        <w:t xml:space="preserve">the TR description, </w:t>
      </w:r>
      <w:r>
        <w:rPr>
          <w:sz w:val="22"/>
          <w:szCs w:val="22"/>
          <w:lang w:val="en-US"/>
        </w:rPr>
        <w:t>NR SI</w:t>
      </w:r>
      <w:r w:rsidR="007E18AA">
        <w:rPr>
          <w:sz w:val="22"/>
          <w:szCs w:val="22"/>
          <w:lang w:val="en-US"/>
        </w:rPr>
        <w:t xml:space="preserve"> does not achieve a consensus </w:t>
      </w:r>
      <w:r>
        <w:rPr>
          <w:sz w:val="22"/>
          <w:szCs w:val="22"/>
          <w:lang w:val="en-US"/>
        </w:rPr>
        <w:t xml:space="preserve">on which format(s) </w:t>
      </w:r>
      <w:r w:rsidR="00B41E2A">
        <w:rPr>
          <w:sz w:val="22"/>
          <w:szCs w:val="22"/>
          <w:lang w:val="en-US"/>
        </w:rPr>
        <w:t>is/are enhanced and supported for NR-U</w:t>
      </w:r>
      <w:r w:rsidR="00B41E2A">
        <w:rPr>
          <w:rFonts w:hint="eastAsia"/>
          <w:sz w:val="22"/>
          <w:szCs w:val="22"/>
          <w:lang w:val="en-US"/>
        </w:rPr>
        <w:t xml:space="preserve">. </w:t>
      </w:r>
      <w:r w:rsidR="00B41E2A" w:rsidRPr="00B41E2A">
        <w:rPr>
          <w:sz w:val="22"/>
          <w:szCs w:val="22"/>
          <w:lang w:val="en-US"/>
        </w:rPr>
        <w:t xml:space="preserve">Some </w:t>
      </w:r>
      <w:r w:rsidR="00B41E2A">
        <w:rPr>
          <w:sz w:val="22"/>
          <w:szCs w:val="22"/>
          <w:lang w:val="en-US"/>
        </w:rPr>
        <w:t>companie</w:t>
      </w:r>
      <w:r w:rsidR="00B41E2A" w:rsidRPr="00B41E2A">
        <w:rPr>
          <w:sz w:val="22"/>
          <w:szCs w:val="22"/>
          <w:lang w:val="en-US"/>
        </w:rPr>
        <w:t>s suggest</w:t>
      </w:r>
      <w:r w:rsidR="00B41E2A">
        <w:rPr>
          <w:sz w:val="22"/>
          <w:szCs w:val="22"/>
          <w:lang w:val="en-US"/>
        </w:rPr>
        <w:t>ed</w:t>
      </w:r>
      <w:r w:rsidR="00B41E2A" w:rsidRPr="00B41E2A">
        <w:rPr>
          <w:sz w:val="22"/>
          <w:szCs w:val="22"/>
          <w:lang w:val="en-US"/>
        </w:rPr>
        <w:t xml:space="preserve"> introducing just one or two new enhanced PUCCH formats, while other </w:t>
      </w:r>
      <w:r w:rsidR="00B41E2A">
        <w:rPr>
          <w:sz w:val="22"/>
          <w:szCs w:val="22"/>
          <w:lang w:val="en-US"/>
        </w:rPr>
        <w:t>companies</w:t>
      </w:r>
      <w:r w:rsidR="00B41E2A" w:rsidRPr="00B41E2A">
        <w:rPr>
          <w:sz w:val="22"/>
          <w:szCs w:val="22"/>
          <w:lang w:val="en-US"/>
        </w:rPr>
        <w:t xml:space="preserve"> suggest</w:t>
      </w:r>
      <w:r w:rsidR="00B41E2A">
        <w:rPr>
          <w:sz w:val="22"/>
          <w:szCs w:val="22"/>
          <w:lang w:val="en-US"/>
        </w:rPr>
        <w:t>ed</w:t>
      </w:r>
      <w:r w:rsidR="00B41E2A" w:rsidRPr="00B41E2A">
        <w:rPr>
          <w:sz w:val="22"/>
          <w:szCs w:val="22"/>
          <w:lang w:val="en-US"/>
        </w:rPr>
        <w:t xml:space="preserve"> enhancing all or almost all legacy PUCCH formats (PF0,1,2,3,4). </w:t>
      </w:r>
    </w:p>
    <w:p w14:paraId="35AD9351" w14:textId="3BDDC7BF" w:rsidR="00D809CD" w:rsidRDefault="00D54638" w:rsidP="00B41E2A">
      <w:pPr>
        <w:spacing w:afterLines="50" w:after="120"/>
        <w:rPr>
          <w:sz w:val="22"/>
          <w:szCs w:val="22"/>
          <w:lang w:val="en-US"/>
        </w:rPr>
      </w:pPr>
      <w:r>
        <w:rPr>
          <w:rFonts w:hint="eastAsia"/>
          <w:sz w:val="22"/>
          <w:szCs w:val="22"/>
          <w:lang w:val="en-US"/>
        </w:rPr>
        <w:t>In Rel-15 NR</w:t>
      </w:r>
      <w:r>
        <w:rPr>
          <w:sz w:val="22"/>
          <w:szCs w:val="22"/>
          <w:lang w:val="en-US"/>
        </w:rPr>
        <w:t xml:space="preserve"> higher layer specifications</w:t>
      </w:r>
      <w:r>
        <w:rPr>
          <w:rFonts w:hint="eastAsia"/>
          <w:sz w:val="22"/>
          <w:szCs w:val="22"/>
          <w:lang w:val="en-US"/>
        </w:rPr>
        <w:t xml:space="preserve">, </w:t>
      </w:r>
      <w:r w:rsidR="004858A4">
        <w:rPr>
          <w:sz w:val="22"/>
          <w:szCs w:val="22"/>
          <w:lang w:val="en-US"/>
        </w:rPr>
        <w:t xml:space="preserve">selection method of PUCCH format to be used is specified </w:t>
      </w:r>
      <w:r w:rsidR="00B41E2A">
        <w:rPr>
          <w:sz w:val="22"/>
          <w:szCs w:val="22"/>
          <w:lang w:val="en-US"/>
        </w:rPr>
        <w:t xml:space="preserve">for each procedure </w:t>
      </w:r>
      <w:r w:rsidR="004858A4">
        <w:rPr>
          <w:sz w:val="22"/>
          <w:szCs w:val="22"/>
          <w:lang w:val="en-US"/>
        </w:rPr>
        <w:t>[3]</w:t>
      </w:r>
      <w:r w:rsidR="000C7255">
        <w:rPr>
          <w:sz w:val="22"/>
          <w:szCs w:val="22"/>
          <w:lang w:val="en-US"/>
        </w:rPr>
        <w:t>. Therefore, i</w:t>
      </w:r>
      <w:r w:rsidR="00D40832">
        <w:rPr>
          <w:rFonts w:hint="eastAsia"/>
          <w:sz w:val="22"/>
          <w:szCs w:val="22"/>
          <w:lang w:val="en-US"/>
        </w:rPr>
        <w:t xml:space="preserve">n terms of </w:t>
      </w:r>
      <w:r w:rsidR="00D40832">
        <w:rPr>
          <w:sz w:val="22"/>
          <w:szCs w:val="22"/>
          <w:lang w:val="en-US"/>
        </w:rPr>
        <w:t>specification impact</w:t>
      </w:r>
      <w:r>
        <w:rPr>
          <w:sz w:val="22"/>
          <w:szCs w:val="22"/>
          <w:lang w:val="en-US"/>
        </w:rPr>
        <w:t xml:space="preserve"> including higher layer specifications</w:t>
      </w:r>
      <w:r w:rsidR="00D40832">
        <w:rPr>
          <w:sz w:val="22"/>
          <w:szCs w:val="22"/>
          <w:lang w:val="en-US"/>
        </w:rPr>
        <w:t>, it seems better to enha</w:t>
      </w:r>
      <w:r>
        <w:rPr>
          <w:sz w:val="22"/>
          <w:szCs w:val="22"/>
          <w:lang w:val="en-US"/>
        </w:rPr>
        <w:t xml:space="preserve">nce all legacy PUCCH format. </w:t>
      </w:r>
      <w:r w:rsidR="000C7255">
        <w:rPr>
          <w:sz w:val="22"/>
          <w:szCs w:val="22"/>
          <w:lang w:val="en-US"/>
        </w:rPr>
        <w:t xml:space="preserve">If all PUCCH formats </w:t>
      </w:r>
      <w:r w:rsidR="00B41E2A">
        <w:rPr>
          <w:sz w:val="22"/>
          <w:szCs w:val="22"/>
          <w:lang w:val="en-US"/>
        </w:rPr>
        <w:t xml:space="preserve">with enhancement </w:t>
      </w:r>
      <w:r w:rsidR="000C7255">
        <w:rPr>
          <w:sz w:val="22"/>
          <w:szCs w:val="22"/>
          <w:lang w:val="en-US"/>
        </w:rPr>
        <w:t xml:space="preserve">are </w:t>
      </w:r>
      <w:r w:rsidR="00B41E2A">
        <w:rPr>
          <w:sz w:val="22"/>
          <w:szCs w:val="22"/>
          <w:lang w:val="en-US"/>
        </w:rPr>
        <w:t>supported in NR-U</w:t>
      </w:r>
      <w:r w:rsidR="000C7255">
        <w:rPr>
          <w:sz w:val="22"/>
          <w:szCs w:val="22"/>
          <w:lang w:val="en-US"/>
        </w:rPr>
        <w:t xml:space="preserve">, just </w:t>
      </w:r>
      <w:r w:rsidR="00B41E2A">
        <w:rPr>
          <w:sz w:val="22"/>
          <w:szCs w:val="22"/>
          <w:lang w:val="en-US"/>
        </w:rPr>
        <w:t>simple</w:t>
      </w:r>
      <w:r w:rsidR="008A0611">
        <w:rPr>
          <w:sz w:val="22"/>
          <w:szCs w:val="22"/>
          <w:lang w:val="en-US"/>
        </w:rPr>
        <w:t xml:space="preserve"> translation, e.g</w:t>
      </w:r>
      <w:r w:rsidR="000C7255">
        <w:rPr>
          <w:sz w:val="22"/>
          <w:szCs w:val="22"/>
          <w:lang w:val="en-US"/>
        </w:rPr>
        <w:t>., from PUCCH format 0,1,2,3,4 to ePUCCH format 0,1,2,3,4</w:t>
      </w:r>
      <w:r w:rsidR="00B41E2A">
        <w:rPr>
          <w:sz w:val="22"/>
          <w:szCs w:val="22"/>
          <w:lang w:val="en-US"/>
        </w:rPr>
        <w:t xml:space="preserve"> for NR-U operation</w:t>
      </w:r>
      <w:r w:rsidR="008A0611">
        <w:rPr>
          <w:sz w:val="22"/>
          <w:szCs w:val="22"/>
          <w:lang w:val="en-US"/>
        </w:rPr>
        <w:t>, would be</w:t>
      </w:r>
      <w:r w:rsidR="000C7255">
        <w:rPr>
          <w:sz w:val="22"/>
          <w:szCs w:val="22"/>
          <w:lang w:val="en-US"/>
        </w:rPr>
        <w:t xml:space="preserve"> needed</w:t>
      </w:r>
      <w:r w:rsidR="008A0611">
        <w:rPr>
          <w:sz w:val="22"/>
          <w:szCs w:val="22"/>
          <w:lang w:val="en-US"/>
        </w:rPr>
        <w:t xml:space="preserve"> in specifications</w:t>
      </w:r>
      <w:r w:rsidR="00B41E2A">
        <w:rPr>
          <w:sz w:val="22"/>
          <w:szCs w:val="22"/>
          <w:lang w:val="en-US"/>
        </w:rPr>
        <w:t>,</w:t>
      </w:r>
      <w:r w:rsidR="000C7255">
        <w:rPr>
          <w:sz w:val="22"/>
          <w:szCs w:val="22"/>
          <w:lang w:val="en-US"/>
        </w:rPr>
        <w:t xml:space="preserve"> </w:t>
      </w:r>
      <w:r w:rsidR="008A0611">
        <w:rPr>
          <w:sz w:val="22"/>
          <w:szCs w:val="22"/>
          <w:lang w:val="en-US"/>
        </w:rPr>
        <w:t xml:space="preserve">i.e., </w:t>
      </w:r>
      <w:r w:rsidR="00B41E2A">
        <w:rPr>
          <w:sz w:val="22"/>
          <w:szCs w:val="22"/>
          <w:lang w:val="en-US"/>
        </w:rPr>
        <w:t>selection method of</w:t>
      </w:r>
      <w:r w:rsidR="00AF3453">
        <w:rPr>
          <w:sz w:val="22"/>
          <w:szCs w:val="22"/>
          <w:lang w:val="en-US"/>
        </w:rPr>
        <w:t xml:space="preserve"> PUCCH </w:t>
      </w:r>
      <w:r w:rsidR="00B41E2A">
        <w:rPr>
          <w:sz w:val="22"/>
          <w:szCs w:val="22"/>
          <w:lang w:val="en-US"/>
        </w:rPr>
        <w:t xml:space="preserve">format </w:t>
      </w:r>
      <w:r w:rsidR="00AF3453">
        <w:rPr>
          <w:sz w:val="22"/>
          <w:szCs w:val="22"/>
          <w:lang w:val="en-US"/>
        </w:rPr>
        <w:t xml:space="preserve">in NR can be </w:t>
      </w:r>
      <w:r w:rsidR="00B41E2A">
        <w:rPr>
          <w:sz w:val="22"/>
          <w:szCs w:val="22"/>
          <w:lang w:val="en-US"/>
        </w:rPr>
        <w:t xml:space="preserve">completely </w:t>
      </w:r>
      <w:r w:rsidR="00AF3453">
        <w:rPr>
          <w:sz w:val="22"/>
          <w:szCs w:val="22"/>
          <w:lang w:val="en-US"/>
        </w:rPr>
        <w:t>reused.</w:t>
      </w:r>
      <w:r w:rsidR="00440D7C">
        <w:rPr>
          <w:sz w:val="22"/>
          <w:szCs w:val="22"/>
          <w:lang w:val="en-US"/>
        </w:rPr>
        <w:t xml:space="preserve"> </w:t>
      </w:r>
    </w:p>
    <w:p w14:paraId="021984BD" w14:textId="46A2424C" w:rsidR="00440D7C" w:rsidRPr="00D54638" w:rsidRDefault="00440D7C" w:rsidP="00B41E2A">
      <w:pPr>
        <w:spacing w:afterLines="50" w:after="120"/>
        <w:rPr>
          <w:sz w:val="22"/>
          <w:szCs w:val="22"/>
          <w:lang w:val="en-US"/>
        </w:rPr>
      </w:pPr>
      <w:r>
        <w:rPr>
          <w:rFonts w:hint="eastAsia"/>
          <w:sz w:val="22"/>
          <w:szCs w:val="22"/>
          <w:lang w:val="en-US"/>
        </w:rPr>
        <w:t xml:space="preserve">PF0/1/4 that support only single </w:t>
      </w:r>
      <w:r>
        <w:rPr>
          <w:sz w:val="22"/>
          <w:szCs w:val="22"/>
          <w:lang w:val="en-US"/>
        </w:rPr>
        <w:t>P</w:t>
      </w:r>
      <w:r>
        <w:rPr>
          <w:rFonts w:hint="eastAsia"/>
          <w:sz w:val="22"/>
          <w:szCs w:val="22"/>
          <w:lang w:val="en-US"/>
        </w:rPr>
        <w:t>RB</w:t>
      </w:r>
      <w:r w:rsidR="005031DC">
        <w:rPr>
          <w:sz w:val="22"/>
          <w:szCs w:val="22"/>
          <w:lang w:val="en-US"/>
        </w:rPr>
        <w:t xml:space="preserve"> based transmission in Rel-15</w:t>
      </w:r>
      <w:r>
        <w:rPr>
          <w:sz w:val="22"/>
          <w:szCs w:val="22"/>
          <w:lang w:val="en-US"/>
        </w:rPr>
        <w:t xml:space="preserve"> can </w:t>
      </w:r>
      <w:r w:rsidR="005031DC">
        <w:rPr>
          <w:sz w:val="22"/>
          <w:szCs w:val="22"/>
          <w:lang w:val="en-US"/>
        </w:rPr>
        <w:t xml:space="preserve">be </w:t>
      </w:r>
      <w:r>
        <w:rPr>
          <w:sz w:val="22"/>
          <w:szCs w:val="22"/>
          <w:lang w:val="en-US"/>
        </w:rPr>
        <w:t>enhance</w:t>
      </w:r>
      <w:r w:rsidR="005031DC">
        <w:rPr>
          <w:sz w:val="22"/>
          <w:szCs w:val="22"/>
          <w:lang w:val="en-US"/>
        </w:rPr>
        <w:t>d</w:t>
      </w:r>
      <w:r>
        <w:rPr>
          <w:sz w:val="22"/>
          <w:szCs w:val="22"/>
          <w:lang w:val="en-US"/>
        </w:rPr>
        <w:t xml:space="preserve"> with repetition in frequency domain and interlace mapping.</w:t>
      </w:r>
    </w:p>
    <w:p w14:paraId="563D011F" w14:textId="5678CFDB" w:rsidR="00E903A9" w:rsidRPr="008614D8" w:rsidRDefault="00E903A9" w:rsidP="00E903A9">
      <w:pPr>
        <w:spacing w:before="120" w:after="120"/>
        <w:rPr>
          <w:rFonts w:eastAsia="Batang"/>
          <w:b/>
          <w:sz w:val="22"/>
          <w:szCs w:val="22"/>
          <w:lang w:eastAsia="ko-KR"/>
        </w:rPr>
      </w:pPr>
      <w:r w:rsidRPr="008D4091">
        <w:rPr>
          <w:rFonts w:eastAsia="Batang"/>
          <w:b/>
          <w:sz w:val="22"/>
          <w:szCs w:val="22"/>
          <w:lang w:eastAsia="ko-KR"/>
        </w:rPr>
        <w:t xml:space="preserve">Proposal </w:t>
      </w:r>
      <w:r>
        <w:rPr>
          <w:rFonts w:eastAsia="Batang"/>
          <w:b/>
          <w:sz w:val="22"/>
          <w:szCs w:val="22"/>
          <w:lang w:eastAsia="ko-KR"/>
        </w:rPr>
        <w:t xml:space="preserve">1: </w:t>
      </w:r>
      <w:r w:rsidR="00F377D6">
        <w:rPr>
          <w:rFonts w:eastAsia="Batang"/>
          <w:b/>
          <w:sz w:val="22"/>
          <w:szCs w:val="22"/>
          <w:lang w:eastAsia="ko-KR"/>
        </w:rPr>
        <w:t>Enhancement of a</w:t>
      </w:r>
      <w:r w:rsidR="00331D8C" w:rsidRPr="00331D8C">
        <w:rPr>
          <w:rFonts w:eastAsiaTheme="minorEastAsia"/>
          <w:b/>
          <w:bCs/>
          <w:sz w:val="22"/>
          <w:szCs w:val="22"/>
        </w:rPr>
        <w:t xml:space="preserve">ll NR-PUCCH formats </w:t>
      </w:r>
      <w:r w:rsidR="00F93FA0">
        <w:rPr>
          <w:rFonts w:eastAsiaTheme="minorEastAsia"/>
          <w:b/>
          <w:bCs/>
          <w:sz w:val="22"/>
          <w:szCs w:val="22"/>
        </w:rPr>
        <w:t>(</w:t>
      </w:r>
      <w:r w:rsidR="00331D8C" w:rsidRPr="00331D8C">
        <w:rPr>
          <w:rFonts w:eastAsiaTheme="minorEastAsia"/>
          <w:b/>
          <w:bCs/>
          <w:sz w:val="22"/>
          <w:szCs w:val="22"/>
        </w:rPr>
        <w:t>PF0/1/</w:t>
      </w:r>
      <w:r w:rsidR="00F93FA0">
        <w:rPr>
          <w:rFonts w:eastAsiaTheme="minorEastAsia"/>
          <w:b/>
          <w:bCs/>
          <w:sz w:val="22"/>
          <w:szCs w:val="22"/>
        </w:rPr>
        <w:t>2/3/</w:t>
      </w:r>
      <w:r w:rsidR="00331D8C" w:rsidRPr="00331D8C">
        <w:rPr>
          <w:rFonts w:eastAsiaTheme="minorEastAsia"/>
          <w:b/>
          <w:bCs/>
          <w:sz w:val="22"/>
          <w:szCs w:val="22"/>
        </w:rPr>
        <w:t>4</w:t>
      </w:r>
      <w:r w:rsidR="00F93FA0">
        <w:rPr>
          <w:rFonts w:eastAsiaTheme="minorEastAsia"/>
          <w:b/>
          <w:bCs/>
          <w:sz w:val="22"/>
          <w:szCs w:val="22"/>
        </w:rPr>
        <w:t>)</w:t>
      </w:r>
      <w:r w:rsidR="00331D8C" w:rsidRPr="00331D8C">
        <w:rPr>
          <w:rFonts w:eastAsiaTheme="minorEastAsia"/>
          <w:b/>
          <w:bCs/>
          <w:sz w:val="22"/>
          <w:szCs w:val="22"/>
        </w:rPr>
        <w:t xml:space="preserve"> should be supported </w:t>
      </w:r>
      <w:r w:rsidR="00331D8C" w:rsidRPr="00331D8C">
        <w:rPr>
          <w:rFonts w:eastAsiaTheme="minorEastAsia"/>
          <w:b/>
          <w:sz w:val="22"/>
          <w:szCs w:val="22"/>
        </w:rPr>
        <w:t xml:space="preserve">to </w:t>
      </w:r>
      <w:r w:rsidR="00F93FA0">
        <w:rPr>
          <w:rFonts w:eastAsiaTheme="minorEastAsia"/>
          <w:b/>
          <w:sz w:val="22"/>
          <w:szCs w:val="22"/>
        </w:rPr>
        <w:t xml:space="preserve">avoid </w:t>
      </w:r>
      <w:r w:rsidR="00331D8C" w:rsidRPr="00331D8C">
        <w:rPr>
          <w:rFonts w:eastAsiaTheme="minorEastAsia"/>
          <w:b/>
          <w:sz w:val="22"/>
          <w:szCs w:val="22"/>
        </w:rPr>
        <w:t>specification impact</w:t>
      </w:r>
      <w:r w:rsidR="00F93FA0">
        <w:rPr>
          <w:rFonts w:eastAsiaTheme="minorEastAsia"/>
          <w:b/>
          <w:sz w:val="22"/>
          <w:szCs w:val="22"/>
        </w:rPr>
        <w:t xml:space="preserve"> on PUCCH format selection mechanism</w:t>
      </w:r>
      <w:r w:rsidR="00331D8C" w:rsidRPr="00331D8C">
        <w:rPr>
          <w:rFonts w:eastAsiaTheme="minorEastAsia"/>
          <w:b/>
          <w:sz w:val="22"/>
          <w:szCs w:val="22"/>
        </w:rPr>
        <w:t>.</w:t>
      </w:r>
    </w:p>
    <w:p w14:paraId="51BCFFDC" w14:textId="0370BBB2" w:rsidR="005C7976" w:rsidRPr="008614D8" w:rsidRDefault="008614D8" w:rsidP="00F93FA0">
      <w:pPr>
        <w:spacing w:afterLines="50" w:after="120"/>
        <w:rPr>
          <w:b/>
          <w:sz w:val="22"/>
          <w:szCs w:val="22"/>
          <w:lang w:val="en-US"/>
        </w:rPr>
      </w:pPr>
      <w:r w:rsidRPr="008614D8">
        <w:rPr>
          <w:rFonts w:hint="eastAsia"/>
          <w:b/>
          <w:sz w:val="22"/>
          <w:szCs w:val="22"/>
        </w:rPr>
        <w:t xml:space="preserve">       - </w:t>
      </w:r>
      <w:r w:rsidRPr="008614D8">
        <w:rPr>
          <w:b/>
          <w:sz w:val="22"/>
          <w:szCs w:val="22"/>
        </w:rPr>
        <w:t>Repetition in frequency domain could be used to enhance PF0/1/4</w:t>
      </w:r>
    </w:p>
    <w:p w14:paraId="5747DF30" w14:textId="750E6C84" w:rsidR="00F93FA0" w:rsidRDefault="00F93FA0" w:rsidP="00F93FA0">
      <w:pPr>
        <w:spacing w:afterLines="50" w:after="120"/>
        <w:rPr>
          <w:sz w:val="22"/>
          <w:szCs w:val="22"/>
          <w:lang w:val="en-US"/>
        </w:rPr>
      </w:pPr>
    </w:p>
    <w:p w14:paraId="4565F5FE" w14:textId="77777777" w:rsidR="008A0611" w:rsidRPr="008A0611" w:rsidRDefault="008A0611" w:rsidP="00F93FA0">
      <w:pPr>
        <w:spacing w:afterLines="50" w:after="120"/>
        <w:rPr>
          <w:sz w:val="22"/>
          <w:szCs w:val="22"/>
          <w:lang w:val="en-US"/>
        </w:rPr>
      </w:pPr>
    </w:p>
    <w:p w14:paraId="345616E9" w14:textId="5C4BD139" w:rsidR="00484F06" w:rsidRPr="003872A2" w:rsidRDefault="003872A2" w:rsidP="003872A2">
      <w:pPr>
        <w:pStyle w:val="1"/>
        <w:numPr>
          <w:ilvl w:val="0"/>
          <w:numId w:val="6"/>
        </w:numPr>
        <w:spacing w:before="180" w:after="120"/>
        <w:rPr>
          <w:rFonts w:eastAsia="ＭＳ 明朝"/>
          <w:b/>
          <w:bCs/>
          <w:szCs w:val="24"/>
          <w:lang w:val="en-US"/>
        </w:rPr>
      </w:pPr>
      <w:r w:rsidRPr="003872A2">
        <w:rPr>
          <w:rFonts w:eastAsia="ＭＳ 明朝"/>
          <w:b/>
          <w:bCs/>
          <w:szCs w:val="24"/>
          <w:lang w:val="en-US"/>
        </w:rPr>
        <w:t>PUSCH interlace design for wideband</w:t>
      </w:r>
    </w:p>
    <w:p w14:paraId="4387F480" w14:textId="2A7081E6" w:rsidR="00120CB4" w:rsidRPr="0031441C" w:rsidRDefault="001D741C" w:rsidP="00120CB4">
      <w:pPr>
        <w:spacing w:afterLines="50" w:after="120"/>
        <w:rPr>
          <w:sz w:val="22"/>
          <w:szCs w:val="22"/>
          <w:lang w:val="en-US"/>
        </w:rPr>
      </w:pPr>
      <w:r w:rsidRPr="001D741C">
        <w:rPr>
          <w:sz w:val="22"/>
          <w:szCs w:val="22"/>
          <w:lang w:val="en-US"/>
        </w:rPr>
        <w:t xml:space="preserve">During the NR-U SI, </w:t>
      </w:r>
      <w:r>
        <w:rPr>
          <w:sz w:val="22"/>
          <w:szCs w:val="22"/>
          <w:lang w:val="en-US"/>
        </w:rPr>
        <w:t xml:space="preserve">the </w:t>
      </w:r>
      <w:r w:rsidR="003872A2" w:rsidRPr="003872A2">
        <w:rPr>
          <w:sz w:val="22"/>
          <w:szCs w:val="22"/>
          <w:lang w:val="en-US"/>
        </w:rPr>
        <w:t>PUSCH interlace design for wideband</w:t>
      </w:r>
      <w:r w:rsidRPr="001D741C">
        <w:rPr>
          <w:sz w:val="22"/>
          <w:szCs w:val="22"/>
          <w:lang w:val="en-US"/>
        </w:rPr>
        <w:t xml:space="preserve"> had been discussed and following is captured in the TR38.889 [2].</w:t>
      </w:r>
    </w:p>
    <w:tbl>
      <w:tblPr>
        <w:tblStyle w:val="afa"/>
        <w:tblW w:w="0" w:type="auto"/>
        <w:tblLook w:val="04A0" w:firstRow="1" w:lastRow="0" w:firstColumn="1" w:lastColumn="0" w:noHBand="0" w:noVBand="1"/>
      </w:tblPr>
      <w:tblGrid>
        <w:gridCol w:w="9962"/>
      </w:tblGrid>
      <w:tr w:rsidR="00120CB4" w14:paraId="2EE8876E" w14:textId="77777777" w:rsidTr="00650AD9">
        <w:tc>
          <w:tcPr>
            <w:tcW w:w="9962" w:type="dxa"/>
          </w:tcPr>
          <w:p w14:paraId="3A394A1A" w14:textId="53A9EAC5" w:rsidR="003872A2" w:rsidRPr="003872A2" w:rsidRDefault="003872A2" w:rsidP="003872A2">
            <w:pPr>
              <w:rPr>
                <w:sz w:val="20"/>
                <w:lang w:eastAsia="x-none"/>
              </w:rPr>
            </w:pPr>
            <w:r w:rsidRPr="003872A2">
              <w:rPr>
                <w:sz w:val="20"/>
                <w:lang w:eastAsia="x-none"/>
              </w:rPr>
              <w:t>For carriers with bandwidth larger than 20 MHz, two candidate interlace designs have been identified:</w:t>
            </w:r>
          </w:p>
          <w:p w14:paraId="42DC9F1D" w14:textId="77777777" w:rsidR="003872A2" w:rsidRPr="003872A2" w:rsidRDefault="003872A2" w:rsidP="003872A2">
            <w:pPr>
              <w:pStyle w:val="B1"/>
              <w:rPr>
                <w:sz w:val="20"/>
              </w:rPr>
            </w:pPr>
            <w:r w:rsidRPr="003872A2">
              <w:rPr>
                <w:sz w:val="20"/>
              </w:rPr>
              <w:t>-</w:t>
            </w:r>
            <w:r w:rsidRPr="003872A2">
              <w:rPr>
                <w:sz w:val="20"/>
              </w:rPr>
              <w:tab/>
              <w:t>Alt-1: Same interlace spacing for all interlaces regardless of carrier BW. This alternative uses Point A as a reference for the interlace definition</w:t>
            </w:r>
          </w:p>
          <w:p w14:paraId="693199DC" w14:textId="3B0EF4C7" w:rsidR="003872A2" w:rsidRPr="003872A2" w:rsidRDefault="003872A2" w:rsidP="003872A2">
            <w:pPr>
              <w:pStyle w:val="B1"/>
              <w:rPr>
                <w:sz w:val="20"/>
              </w:rPr>
            </w:pPr>
            <w:r w:rsidRPr="003872A2">
              <w:rPr>
                <w:sz w:val="20"/>
              </w:rPr>
              <w:lastRenderedPageBreak/>
              <w:t>-</w:t>
            </w:r>
            <w:r w:rsidRPr="003872A2">
              <w:rPr>
                <w:sz w:val="20"/>
              </w:rPr>
              <w:tab/>
              <w:t>Alt-2: Interlacing defined on a sub-band (20 MHz) basis. (Note: Possible interlace spacing discontinuity at edges of sub-band).</w:t>
            </w:r>
          </w:p>
        </w:tc>
      </w:tr>
    </w:tbl>
    <w:p w14:paraId="29A06021" w14:textId="77777777" w:rsidR="00120CB4" w:rsidRDefault="00120CB4" w:rsidP="00120CB4">
      <w:pPr>
        <w:rPr>
          <w:rFonts w:ascii="Arial" w:hAnsi="Arial"/>
          <w:lang w:val="en-US"/>
        </w:rPr>
      </w:pPr>
    </w:p>
    <w:p w14:paraId="65CD268A" w14:textId="49133D1B" w:rsidR="0000343D" w:rsidRPr="006F17D7" w:rsidRDefault="00942395" w:rsidP="00F93FA0">
      <w:pPr>
        <w:snapToGrid w:val="0"/>
        <w:spacing w:afterLines="50" w:after="120"/>
        <w:rPr>
          <w:rFonts w:eastAsiaTheme="minorEastAsia"/>
          <w:sz w:val="22"/>
          <w:szCs w:val="22"/>
        </w:rPr>
      </w:pPr>
      <w:r>
        <w:rPr>
          <w:rFonts w:eastAsiaTheme="minorEastAsia"/>
          <w:sz w:val="22"/>
          <w:szCs w:val="22"/>
        </w:rPr>
        <w:t xml:space="preserve">As mentioned in the TR, </w:t>
      </w:r>
      <w:r w:rsidR="003872A2">
        <w:rPr>
          <w:rFonts w:eastAsiaTheme="minorEastAsia"/>
          <w:sz w:val="22"/>
          <w:szCs w:val="22"/>
        </w:rPr>
        <w:t>there are 2 alternatives of PU</w:t>
      </w:r>
      <w:r w:rsidR="00F93FA0">
        <w:rPr>
          <w:rFonts w:eastAsiaTheme="minorEastAsia" w:hint="eastAsia"/>
          <w:sz w:val="22"/>
          <w:szCs w:val="22"/>
        </w:rPr>
        <w:t>S</w:t>
      </w:r>
      <w:r w:rsidR="003872A2">
        <w:rPr>
          <w:rFonts w:eastAsiaTheme="minorEastAsia"/>
          <w:sz w:val="22"/>
          <w:szCs w:val="22"/>
        </w:rPr>
        <w:t xml:space="preserve">CH interlace design for wideband transmission. Alt-1 seems good in case wideband PUSCH is transmitted only when the whole bandwidth of activated BWP is available </w:t>
      </w:r>
      <w:r w:rsidR="00F93FA0">
        <w:rPr>
          <w:rFonts w:eastAsiaTheme="minorEastAsia"/>
          <w:sz w:val="22"/>
          <w:szCs w:val="22"/>
        </w:rPr>
        <w:t>according</w:t>
      </w:r>
      <w:r w:rsidR="003872A2">
        <w:rPr>
          <w:rFonts w:eastAsiaTheme="minorEastAsia"/>
          <w:sz w:val="22"/>
          <w:szCs w:val="22"/>
        </w:rPr>
        <w:t xml:space="preserve"> to LBT result. On the other hand, Alt-2 seems </w:t>
      </w:r>
      <w:r w:rsidR="00F93FA0">
        <w:rPr>
          <w:rFonts w:eastAsiaTheme="minorEastAsia"/>
          <w:sz w:val="22"/>
          <w:szCs w:val="22"/>
        </w:rPr>
        <w:t xml:space="preserve">suitable for the case where only </w:t>
      </w:r>
      <w:r w:rsidR="00F57531">
        <w:rPr>
          <w:rFonts w:eastAsiaTheme="minorEastAsia"/>
          <w:sz w:val="22"/>
          <w:szCs w:val="22"/>
        </w:rPr>
        <w:t xml:space="preserve">a part of activated BWP </w:t>
      </w:r>
      <w:r w:rsidR="00F93FA0">
        <w:rPr>
          <w:rFonts w:eastAsiaTheme="minorEastAsia"/>
          <w:sz w:val="22"/>
          <w:szCs w:val="22"/>
        </w:rPr>
        <w:t xml:space="preserve">(i.e., one or multiple sub-band(s)) </w:t>
      </w:r>
      <w:r w:rsidR="00F57531">
        <w:rPr>
          <w:rFonts w:eastAsiaTheme="minorEastAsia"/>
          <w:sz w:val="22"/>
          <w:szCs w:val="22"/>
        </w:rPr>
        <w:t>can be used according to LBT outcom</w:t>
      </w:r>
      <w:r w:rsidR="00746B04">
        <w:rPr>
          <w:rFonts w:eastAsiaTheme="minorEastAsia"/>
          <w:sz w:val="22"/>
          <w:szCs w:val="22"/>
        </w:rPr>
        <w:t>e</w:t>
      </w:r>
      <w:r w:rsidR="00F57531">
        <w:rPr>
          <w:rFonts w:eastAsiaTheme="minorEastAsia"/>
          <w:sz w:val="22"/>
          <w:szCs w:val="22"/>
        </w:rPr>
        <w:t>.</w:t>
      </w:r>
      <w:r w:rsidR="00746B04">
        <w:rPr>
          <w:rFonts w:eastAsiaTheme="minorEastAsia"/>
          <w:sz w:val="22"/>
          <w:szCs w:val="22"/>
        </w:rPr>
        <w:t xml:space="preserve"> As we mention</w:t>
      </w:r>
      <w:r w:rsidR="009D6657">
        <w:rPr>
          <w:rFonts w:eastAsiaTheme="minorEastAsia"/>
          <w:sz w:val="22"/>
          <w:szCs w:val="22"/>
        </w:rPr>
        <w:t>ed</w:t>
      </w:r>
      <w:r w:rsidR="00746B04">
        <w:rPr>
          <w:rFonts w:eastAsiaTheme="minorEastAsia"/>
          <w:sz w:val="22"/>
          <w:szCs w:val="22"/>
        </w:rPr>
        <w:t xml:space="preserve"> in [4], we think it should be supported that PUSCH transmission using a part of activated BWP</w:t>
      </w:r>
      <w:r w:rsidR="006511C4">
        <w:rPr>
          <w:rFonts w:eastAsiaTheme="minorEastAsia"/>
          <w:sz w:val="22"/>
          <w:szCs w:val="22"/>
        </w:rPr>
        <w:t xml:space="preserve"> to use available frequency resources efficiently at almost same level of Wi-Fi systems</w:t>
      </w:r>
      <w:r w:rsidR="00746B04">
        <w:rPr>
          <w:rFonts w:eastAsiaTheme="minorEastAsia"/>
          <w:sz w:val="22"/>
          <w:szCs w:val="22"/>
        </w:rPr>
        <w:t xml:space="preserve">. </w:t>
      </w:r>
      <w:r w:rsidR="00F93FA0">
        <w:rPr>
          <w:rFonts w:eastAsiaTheme="minorEastAsia"/>
          <w:sz w:val="22"/>
          <w:szCs w:val="22"/>
        </w:rPr>
        <w:t>Therefore, Alt-2 should be supported.</w:t>
      </w:r>
    </w:p>
    <w:p w14:paraId="7E1C9ADC" w14:textId="3BD1985F" w:rsidR="00E80742" w:rsidRDefault="001D741C" w:rsidP="00F93FA0">
      <w:pPr>
        <w:spacing w:afterLines="50" w:after="120"/>
        <w:rPr>
          <w:rFonts w:eastAsiaTheme="minorEastAsia"/>
          <w:b/>
          <w:sz w:val="22"/>
          <w:szCs w:val="22"/>
        </w:rPr>
      </w:pPr>
      <w:r w:rsidRPr="008D4091">
        <w:rPr>
          <w:rFonts w:eastAsia="Batang"/>
          <w:b/>
          <w:sz w:val="22"/>
          <w:szCs w:val="22"/>
          <w:lang w:eastAsia="ko-KR"/>
        </w:rPr>
        <w:t xml:space="preserve">Proposal </w:t>
      </w:r>
      <w:r>
        <w:rPr>
          <w:rFonts w:eastAsia="Batang"/>
          <w:b/>
          <w:sz w:val="22"/>
          <w:szCs w:val="22"/>
          <w:lang w:eastAsia="ko-KR"/>
        </w:rPr>
        <w:t>2</w:t>
      </w:r>
      <w:r w:rsidRPr="008D4091">
        <w:rPr>
          <w:rFonts w:eastAsia="Batang"/>
          <w:b/>
          <w:sz w:val="22"/>
          <w:szCs w:val="22"/>
          <w:lang w:eastAsia="ko-KR"/>
        </w:rPr>
        <w:t xml:space="preserve">: </w:t>
      </w:r>
      <w:r w:rsidR="0000343D" w:rsidRPr="0000343D">
        <w:rPr>
          <w:rFonts w:eastAsiaTheme="minorEastAsia"/>
          <w:b/>
          <w:sz w:val="22"/>
          <w:szCs w:val="22"/>
        </w:rPr>
        <w:t>Interlacing defined on a sub-</w:t>
      </w:r>
      <w:r w:rsidR="0000343D">
        <w:rPr>
          <w:rFonts w:eastAsiaTheme="minorEastAsia"/>
          <w:b/>
          <w:sz w:val="22"/>
          <w:szCs w:val="22"/>
        </w:rPr>
        <w:t xml:space="preserve">band (20 MHz) basis is supported for PUSCH interlace design </w:t>
      </w:r>
      <w:r w:rsidR="00064F4F">
        <w:rPr>
          <w:rFonts w:eastAsiaTheme="minorEastAsia"/>
          <w:b/>
          <w:sz w:val="22"/>
          <w:szCs w:val="22"/>
        </w:rPr>
        <w:t>for wideband</w:t>
      </w:r>
      <w:r w:rsidR="00E80742">
        <w:rPr>
          <w:rFonts w:eastAsiaTheme="minorEastAsia"/>
          <w:b/>
          <w:sz w:val="22"/>
          <w:szCs w:val="22"/>
        </w:rPr>
        <w:t>.</w:t>
      </w:r>
    </w:p>
    <w:p w14:paraId="7F5BF585" w14:textId="1F2E5B9E" w:rsidR="00F93FA0" w:rsidRDefault="00F93FA0" w:rsidP="001D741C">
      <w:pPr>
        <w:rPr>
          <w:rFonts w:eastAsiaTheme="minorEastAsia"/>
          <w:b/>
          <w:sz w:val="22"/>
          <w:szCs w:val="22"/>
        </w:rPr>
      </w:pPr>
    </w:p>
    <w:p w14:paraId="507D73EB" w14:textId="77777777" w:rsidR="008A0611" w:rsidRDefault="008A0611" w:rsidP="001D741C">
      <w:pPr>
        <w:rPr>
          <w:rFonts w:eastAsiaTheme="minorEastAsia" w:hint="eastAsia"/>
          <w:b/>
          <w:sz w:val="22"/>
          <w:szCs w:val="22"/>
        </w:rPr>
      </w:pPr>
    </w:p>
    <w:p w14:paraId="2E15515C" w14:textId="7950643E" w:rsidR="00E80742" w:rsidRPr="009130DD" w:rsidRDefault="009130DD" w:rsidP="009130DD">
      <w:pPr>
        <w:pStyle w:val="1"/>
        <w:numPr>
          <w:ilvl w:val="0"/>
          <w:numId w:val="6"/>
        </w:numPr>
        <w:spacing w:before="180" w:after="120"/>
        <w:rPr>
          <w:rFonts w:eastAsia="ＭＳ 明朝"/>
          <w:b/>
          <w:bCs/>
          <w:szCs w:val="24"/>
          <w:lang w:val="en-US"/>
        </w:rPr>
      </w:pPr>
      <w:r w:rsidRPr="009130DD">
        <w:rPr>
          <w:rFonts w:eastAsia="ＭＳ 明朝"/>
          <w:b/>
          <w:bCs/>
          <w:szCs w:val="24"/>
          <w:lang w:val="en-US"/>
        </w:rPr>
        <w:t>PUSCH transmission at the beginning of COT</w:t>
      </w:r>
    </w:p>
    <w:p w14:paraId="02DEFA16" w14:textId="0AF88D18" w:rsidR="00E80742" w:rsidRPr="0031441C" w:rsidRDefault="00E80742" w:rsidP="00E80742">
      <w:pPr>
        <w:spacing w:afterLines="50" w:after="120"/>
        <w:rPr>
          <w:sz w:val="22"/>
          <w:szCs w:val="22"/>
          <w:lang w:val="en-US"/>
        </w:rPr>
      </w:pPr>
      <w:r w:rsidRPr="001D741C">
        <w:rPr>
          <w:sz w:val="22"/>
          <w:szCs w:val="22"/>
          <w:lang w:val="en-US"/>
        </w:rPr>
        <w:t xml:space="preserve">During the NR-U SI, </w:t>
      </w:r>
      <w:r>
        <w:rPr>
          <w:sz w:val="22"/>
          <w:szCs w:val="22"/>
          <w:lang w:val="en-US"/>
        </w:rPr>
        <w:t xml:space="preserve">the </w:t>
      </w:r>
      <w:r w:rsidR="009130DD" w:rsidRPr="009130DD">
        <w:rPr>
          <w:sz w:val="22"/>
          <w:szCs w:val="22"/>
          <w:lang w:val="en-US"/>
        </w:rPr>
        <w:t>PUSCH transmission at the beginning of COT</w:t>
      </w:r>
      <w:r w:rsidRPr="001D741C">
        <w:rPr>
          <w:sz w:val="22"/>
          <w:szCs w:val="22"/>
          <w:lang w:val="en-US"/>
        </w:rPr>
        <w:t xml:space="preserve"> had been discussed and following is captured in the TR38.889 [2].</w:t>
      </w:r>
    </w:p>
    <w:tbl>
      <w:tblPr>
        <w:tblStyle w:val="afa"/>
        <w:tblW w:w="0" w:type="auto"/>
        <w:tblLook w:val="04A0" w:firstRow="1" w:lastRow="0" w:firstColumn="1" w:lastColumn="0" w:noHBand="0" w:noVBand="1"/>
      </w:tblPr>
      <w:tblGrid>
        <w:gridCol w:w="9962"/>
      </w:tblGrid>
      <w:tr w:rsidR="00E80742" w14:paraId="3D95A4A9" w14:textId="77777777" w:rsidTr="00E927DC">
        <w:tc>
          <w:tcPr>
            <w:tcW w:w="9962" w:type="dxa"/>
          </w:tcPr>
          <w:p w14:paraId="6504FFFA" w14:textId="77777777" w:rsidR="009130DD" w:rsidRPr="009130DD" w:rsidRDefault="009130DD" w:rsidP="009130DD">
            <w:pPr>
              <w:rPr>
                <w:sz w:val="20"/>
                <w:lang w:eastAsia="x-none"/>
              </w:rPr>
            </w:pPr>
            <w:r w:rsidRPr="009130DD">
              <w:rPr>
                <w:sz w:val="20"/>
                <w:lang w:eastAsia="x-none"/>
              </w:rPr>
              <w:t>It has been identified to be beneficial for the NR-U design to not require the UE to change a granted TBS for a PUSCH transmission depending on the LBT outcome.</w:t>
            </w:r>
          </w:p>
          <w:p w14:paraId="0BDCF456" w14:textId="77777777" w:rsidR="009130DD" w:rsidRPr="009130DD" w:rsidRDefault="009130DD" w:rsidP="009130DD">
            <w:pPr>
              <w:rPr>
                <w:sz w:val="20"/>
                <w:lang w:eastAsia="x-none"/>
              </w:rPr>
            </w:pPr>
            <w:r w:rsidRPr="009130DD">
              <w:rPr>
                <w:sz w:val="20"/>
                <w:lang w:eastAsia="x-none"/>
              </w:rPr>
              <w:t>The following options have been identified as possible candidate at least for the first PUSCH(s) transmitted in the UL transmission burst.</w:t>
            </w:r>
          </w:p>
          <w:p w14:paraId="36964AE7" w14:textId="77777777" w:rsidR="009130DD" w:rsidRPr="009130DD" w:rsidRDefault="009130DD" w:rsidP="009130DD">
            <w:pPr>
              <w:pStyle w:val="B1"/>
              <w:rPr>
                <w:sz w:val="20"/>
              </w:rPr>
            </w:pPr>
            <w:r w:rsidRPr="009130DD">
              <w:rPr>
                <w:sz w:val="20"/>
              </w:rPr>
              <w:t>-</w:t>
            </w:r>
            <w:r w:rsidRPr="009130DD">
              <w:rPr>
                <w:sz w:val="20"/>
              </w:rPr>
              <w:tab/>
            </w:r>
            <w:r w:rsidRPr="009130DD">
              <w:rPr>
                <w:rFonts w:hint="eastAsia"/>
                <w:sz w:val="20"/>
              </w:rPr>
              <w:t>Option 1</w:t>
            </w:r>
            <w:r w:rsidRPr="009130DD">
              <w:rPr>
                <w:sz w:val="20"/>
              </w:rPr>
              <w:t>: PUSCH(s) as in Rel-15 NR</w:t>
            </w:r>
          </w:p>
          <w:p w14:paraId="3EC45A95" w14:textId="77777777" w:rsidR="009130DD" w:rsidRPr="009130DD" w:rsidRDefault="009130DD" w:rsidP="009130DD">
            <w:pPr>
              <w:pStyle w:val="B1"/>
              <w:rPr>
                <w:sz w:val="20"/>
              </w:rPr>
            </w:pPr>
            <w:r w:rsidRPr="009130DD">
              <w:rPr>
                <w:sz w:val="20"/>
              </w:rPr>
              <w:t>-</w:t>
            </w:r>
            <w:r w:rsidRPr="009130DD">
              <w:rPr>
                <w:sz w:val="20"/>
              </w:rPr>
              <w:tab/>
              <w:t xml:space="preserve">Option 2: Multiple starting positions in one or multiple slot(s) are allowed for PUSCH(s) scheduled by a single UL grant (i.e., not a configured grant) and one of the multiple PUSCH starting positions can be decided depending on LBT outcome. </w:t>
            </w:r>
          </w:p>
          <w:p w14:paraId="0DD3D7BB" w14:textId="77777777" w:rsidR="009130DD" w:rsidRPr="009130DD" w:rsidRDefault="009130DD" w:rsidP="009130DD">
            <w:pPr>
              <w:rPr>
                <w:sz w:val="20"/>
                <w:lang w:eastAsia="x-none"/>
              </w:rPr>
            </w:pPr>
            <w:r w:rsidRPr="009130DD">
              <w:rPr>
                <w:sz w:val="20"/>
                <w:lang w:eastAsia="x-none"/>
              </w:rPr>
              <w:t>It is noted that for above options, the ending position of the PUSCH is fixed as indicated by the UL grant.</w:t>
            </w:r>
          </w:p>
          <w:p w14:paraId="0371BE14" w14:textId="7AB81CDC" w:rsidR="00E80742" w:rsidRPr="009130DD" w:rsidRDefault="009130DD" w:rsidP="009130DD">
            <w:pPr>
              <w:rPr>
                <w:sz w:val="20"/>
                <w:lang w:eastAsia="x-none"/>
              </w:rPr>
            </w:pPr>
            <w:r w:rsidRPr="009130DD">
              <w:rPr>
                <w:sz w:val="20"/>
                <w:lang w:eastAsia="x-none"/>
              </w:rPr>
              <w:t>It is noted that above options are not mutually exclusive.</w:t>
            </w:r>
          </w:p>
        </w:tc>
      </w:tr>
    </w:tbl>
    <w:p w14:paraId="30DAC55B" w14:textId="77777777" w:rsidR="00E80742" w:rsidRDefault="00E80742" w:rsidP="00F93FA0">
      <w:pPr>
        <w:spacing w:afterLines="50" w:after="120"/>
        <w:rPr>
          <w:rFonts w:ascii="Arial" w:hAnsi="Arial"/>
          <w:lang w:val="en-US"/>
        </w:rPr>
      </w:pPr>
    </w:p>
    <w:p w14:paraId="0FB4F916" w14:textId="19A5C8F4" w:rsidR="00361AA0" w:rsidRPr="006F17D7" w:rsidRDefault="009130DD" w:rsidP="00F93FA0">
      <w:pPr>
        <w:snapToGrid w:val="0"/>
        <w:spacing w:afterLines="50" w:after="120"/>
        <w:rPr>
          <w:rFonts w:eastAsiaTheme="minorEastAsia"/>
          <w:sz w:val="22"/>
          <w:szCs w:val="22"/>
        </w:rPr>
      </w:pPr>
      <w:r>
        <w:rPr>
          <w:rFonts w:eastAsiaTheme="minorEastAsia"/>
          <w:sz w:val="22"/>
          <w:szCs w:val="22"/>
        </w:rPr>
        <w:t>As we proposed in [</w:t>
      </w:r>
      <w:r w:rsidR="00F93FA0">
        <w:rPr>
          <w:rFonts w:eastAsiaTheme="minorEastAsia"/>
          <w:sz w:val="22"/>
          <w:szCs w:val="22"/>
        </w:rPr>
        <w:t>5</w:t>
      </w:r>
      <w:r>
        <w:rPr>
          <w:rFonts w:eastAsiaTheme="minorEastAsia"/>
          <w:sz w:val="22"/>
          <w:szCs w:val="22"/>
        </w:rPr>
        <w:t xml:space="preserve">], </w:t>
      </w:r>
      <w:r w:rsidR="00670182">
        <w:rPr>
          <w:rFonts w:eastAsiaTheme="minorEastAsia"/>
          <w:sz w:val="22"/>
          <w:szCs w:val="22"/>
        </w:rPr>
        <w:t>m</w:t>
      </w:r>
      <w:r>
        <w:rPr>
          <w:rFonts w:eastAsiaTheme="minorEastAsia"/>
          <w:sz w:val="22"/>
          <w:szCs w:val="22"/>
        </w:rPr>
        <w:t>ulti</w:t>
      </w:r>
      <w:r w:rsidR="00670182">
        <w:rPr>
          <w:rFonts w:eastAsiaTheme="minorEastAsia"/>
          <w:sz w:val="22"/>
          <w:szCs w:val="22"/>
        </w:rPr>
        <w:t>-</w:t>
      </w:r>
      <w:r>
        <w:rPr>
          <w:rFonts w:eastAsiaTheme="minorEastAsia"/>
          <w:sz w:val="22"/>
          <w:szCs w:val="22"/>
        </w:rPr>
        <w:t>TT</w:t>
      </w:r>
      <w:r w:rsidR="00670182">
        <w:rPr>
          <w:rFonts w:eastAsiaTheme="minorEastAsia"/>
          <w:sz w:val="22"/>
          <w:szCs w:val="22"/>
        </w:rPr>
        <w:t xml:space="preserve">I </w:t>
      </w:r>
      <w:r w:rsidR="00F93FA0">
        <w:rPr>
          <w:rFonts w:eastAsiaTheme="minorEastAsia"/>
          <w:sz w:val="22"/>
          <w:szCs w:val="22"/>
        </w:rPr>
        <w:t xml:space="preserve">scheduling </w:t>
      </w:r>
      <w:r w:rsidR="00670182">
        <w:rPr>
          <w:rFonts w:eastAsiaTheme="minorEastAsia"/>
          <w:sz w:val="22"/>
          <w:szCs w:val="22"/>
        </w:rPr>
        <w:t xml:space="preserve">for PUSCH </w:t>
      </w:r>
      <w:r w:rsidR="00F93FA0">
        <w:rPr>
          <w:rFonts w:eastAsiaTheme="minorEastAsia"/>
          <w:sz w:val="22"/>
          <w:szCs w:val="22"/>
        </w:rPr>
        <w:t>should</w:t>
      </w:r>
      <w:r w:rsidR="00670182">
        <w:rPr>
          <w:rFonts w:eastAsiaTheme="minorEastAsia"/>
          <w:sz w:val="22"/>
          <w:szCs w:val="22"/>
        </w:rPr>
        <w:t xml:space="preserve"> be supported as in LTE-LAA to </w:t>
      </w:r>
      <w:r w:rsidR="00F93FA0">
        <w:rPr>
          <w:rFonts w:eastAsiaTheme="minorEastAsia"/>
          <w:sz w:val="22"/>
          <w:szCs w:val="22"/>
        </w:rPr>
        <w:t xml:space="preserve">facilitate </w:t>
      </w:r>
      <w:r w:rsidR="00971ECF">
        <w:rPr>
          <w:rFonts w:eastAsiaTheme="minorEastAsia"/>
          <w:sz w:val="22"/>
          <w:szCs w:val="22"/>
        </w:rPr>
        <w:t>efficient scheduling of PUSCH in UE-initiated COT</w:t>
      </w:r>
      <w:r w:rsidR="00670182">
        <w:rPr>
          <w:rFonts w:eastAsiaTheme="minorEastAsia"/>
          <w:sz w:val="22"/>
          <w:szCs w:val="22"/>
        </w:rPr>
        <w:t xml:space="preserve">. This </w:t>
      </w:r>
      <w:r w:rsidR="00990AE9">
        <w:rPr>
          <w:rFonts w:eastAsiaTheme="minorEastAsia"/>
          <w:sz w:val="22"/>
          <w:szCs w:val="22"/>
        </w:rPr>
        <w:t xml:space="preserve">enhancement </w:t>
      </w:r>
      <w:r w:rsidR="00971ECF">
        <w:rPr>
          <w:rFonts w:eastAsiaTheme="minorEastAsia"/>
          <w:sz w:val="22"/>
          <w:szCs w:val="22"/>
        </w:rPr>
        <w:t>is aligned with</w:t>
      </w:r>
      <w:r w:rsidR="00990AE9">
        <w:rPr>
          <w:rFonts w:eastAsiaTheme="minorEastAsia"/>
          <w:sz w:val="22"/>
          <w:szCs w:val="22"/>
        </w:rPr>
        <w:t xml:space="preserve"> option 2</w:t>
      </w:r>
      <w:r w:rsidR="00021B49">
        <w:rPr>
          <w:rFonts w:eastAsiaTheme="minorEastAsia"/>
          <w:sz w:val="22"/>
          <w:szCs w:val="22"/>
        </w:rPr>
        <w:t xml:space="preserve"> enhancement</w:t>
      </w:r>
      <w:r w:rsidR="00990AE9">
        <w:rPr>
          <w:rFonts w:eastAsiaTheme="minorEastAsia"/>
          <w:sz w:val="22"/>
          <w:szCs w:val="22"/>
        </w:rPr>
        <w:t xml:space="preserve"> in this topic</w:t>
      </w:r>
      <w:r w:rsidR="00361AA0">
        <w:rPr>
          <w:rFonts w:eastAsiaTheme="minorEastAsia"/>
          <w:sz w:val="22"/>
          <w:szCs w:val="22"/>
        </w:rPr>
        <w:t>.</w:t>
      </w:r>
      <w:r w:rsidR="00971ECF">
        <w:rPr>
          <w:rFonts w:eastAsiaTheme="minorEastAsia"/>
          <w:sz w:val="22"/>
          <w:szCs w:val="22"/>
        </w:rPr>
        <w:t xml:space="preserve"> The multi-TTI scheduling grant can provide multiple PUSCH starting positions in multiple slots or potentially in multiple mini-slots. Necessity on finer starting position granularity needs further study.</w:t>
      </w:r>
    </w:p>
    <w:p w14:paraId="7B431CEC" w14:textId="0AA09FB8" w:rsidR="00E80742" w:rsidRDefault="00E80742" w:rsidP="00F93FA0">
      <w:pPr>
        <w:spacing w:afterLines="50" w:after="120"/>
        <w:rPr>
          <w:rFonts w:eastAsiaTheme="minorEastAsia"/>
          <w:b/>
          <w:sz w:val="22"/>
          <w:szCs w:val="22"/>
        </w:rPr>
      </w:pPr>
      <w:r w:rsidRPr="008D4091">
        <w:rPr>
          <w:rFonts w:eastAsia="Batang"/>
          <w:b/>
          <w:sz w:val="22"/>
          <w:szCs w:val="22"/>
          <w:lang w:eastAsia="ko-KR"/>
        </w:rPr>
        <w:t xml:space="preserve">Proposal </w:t>
      </w:r>
      <w:r w:rsidR="00E071C0">
        <w:rPr>
          <w:rFonts w:eastAsia="Batang"/>
          <w:b/>
          <w:sz w:val="22"/>
          <w:szCs w:val="22"/>
          <w:lang w:eastAsia="ko-KR"/>
        </w:rPr>
        <w:t>3</w:t>
      </w:r>
      <w:r w:rsidRPr="008D4091">
        <w:rPr>
          <w:rFonts w:eastAsia="Batang"/>
          <w:b/>
          <w:sz w:val="22"/>
          <w:szCs w:val="22"/>
          <w:lang w:eastAsia="ko-KR"/>
        </w:rPr>
        <w:t xml:space="preserve">: </w:t>
      </w:r>
      <w:r w:rsidR="00971ECF">
        <w:rPr>
          <w:rFonts w:eastAsia="Batang"/>
          <w:b/>
          <w:sz w:val="22"/>
          <w:szCs w:val="22"/>
          <w:lang w:eastAsia="ko-KR"/>
        </w:rPr>
        <w:t>Providing multiple PUSCH starting positions in a single UL grant is supported so that UE can decide one of them as actual PUSCH starting position according to LBT outcome</w:t>
      </w:r>
      <w:r w:rsidR="00361AA0" w:rsidRPr="00361AA0">
        <w:rPr>
          <w:rFonts w:eastAsia="Batang"/>
          <w:b/>
          <w:sz w:val="22"/>
          <w:szCs w:val="22"/>
          <w:lang w:eastAsia="ko-KR"/>
        </w:rPr>
        <w:t>.</w:t>
      </w:r>
    </w:p>
    <w:p w14:paraId="154836CC" w14:textId="7DEC8A47" w:rsidR="00757345" w:rsidRDefault="00757345" w:rsidP="00AE70FC">
      <w:pPr>
        <w:rPr>
          <w:rFonts w:eastAsia="ＭＳ 明朝"/>
          <w:b/>
          <w:sz w:val="22"/>
          <w:lang w:val="en-US"/>
        </w:rPr>
      </w:pPr>
    </w:p>
    <w:p w14:paraId="7681C146" w14:textId="77777777" w:rsidR="008A0611" w:rsidRDefault="008A0611" w:rsidP="00AE70FC">
      <w:pPr>
        <w:rPr>
          <w:rFonts w:eastAsia="ＭＳ 明朝" w:hint="eastAsia"/>
          <w:b/>
          <w:sz w:val="22"/>
          <w:lang w:val="en-US"/>
        </w:rPr>
      </w:pPr>
      <w:bookmarkStart w:id="3" w:name="_GoBack"/>
      <w:bookmarkEnd w:id="3"/>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3661BAE3" w14:textId="47AC2B56" w:rsidR="00FE79AE" w:rsidRDefault="00FE79AE" w:rsidP="00F93FA0">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on </w:t>
      </w:r>
      <w:r w:rsidR="00497543">
        <w:rPr>
          <w:rFonts w:eastAsia="ＭＳ 明朝"/>
          <w:sz w:val="22"/>
          <w:szCs w:val="22"/>
          <w:lang w:val="en-US"/>
        </w:rPr>
        <w:t>the UL signals and channels for NR-U, including</w:t>
      </w:r>
      <w:r w:rsidR="00497543" w:rsidRPr="00BE79F6">
        <w:t xml:space="preserve"> </w:t>
      </w:r>
      <w:r w:rsidR="00497543">
        <w:t xml:space="preserve">PUCCH/PUSCH design and </w:t>
      </w:r>
      <w:r w:rsidR="00497543" w:rsidRPr="00BE79F6">
        <w:rPr>
          <w:rFonts w:eastAsia="ＭＳ 明朝"/>
          <w:sz w:val="22"/>
          <w:szCs w:val="22"/>
          <w:lang w:val="en-US"/>
        </w:rPr>
        <w:t>P</w:t>
      </w:r>
      <w:r w:rsidR="00497543">
        <w:rPr>
          <w:rFonts w:eastAsia="ＭＳ 明朝"/>
          <w:sz w:val="22"/>
          <w:szCs w:val="22"/>
          <w:lang w:val="en-US"/>
        </w:rPr>
        <w:t>U</w:t>
      </w:r>
      <w:r w:rsidR="00497543" w:rsidRPr="00BE79F6">
        <w:rPr>
          <w:rFonts w:eastAsia="ＭＳ 明朝"/>
          <w:sz w:val="22"/>
          <w:szCs w:val="22"/>
          <w:lang w:val="en-US"/>
        </w:rPr>
        <w:t xml:space="preserve">SCH transmission at the beginning of </w:t>
      </w:r>
      <w:r w:rsidR="00497543">
        <w:rPr>
          <w:rFonts w:eastAsia="ＭＳ 明朝"/>
          <w:sz w:val="22"/>
          <w:szCs w:val="22"/>
          <w:lang w:val="en-US"/>
        </w:rPr>
        <w:t>U</w:t>
      </w:r>
      <w:r w:rsidR="00497543" w:rsidRPr="00BE79F6">
        <w:rPr>
          <w:rFonts w:eastAsia="ＭＳ 明朝"/>
          <w:sz w:val="22"/>
          <w:szCs w:val="22"/>
          <w:lang w:val="en-US"/>
        </w:rPr>
        <w:t>L transmission burs</w:t>
      </w:r>
      <w:r w:rsidR="00497543">
        <w:rPr>
          <w:rFonts w:eastAsia="ＭＳ 明朝"/>
          <w:sz w:val="22"/>
          <w:szCs w:val="22"/>
          <w:lang w:val="en-US"/>
        </w:rPr>
        <w:t>t</w:t>
      </w:r>
      <w:r w:rsidR="001A2389">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hint="eastAsia"/>
          <w:sz w:val="22"/>
          <w:szCs w:val="22"/>
          <w:lang w:val="en-US"/>
        </w:rPr>
        <w:t>proposal</w:t>
      </w:r>
      <w:r w:rsidR="00484F06">
        <w:rPr>
          <w:rFonts w:eastAsia="ＭＳ 明朝"/>
          <w:sz w:val="22"/>
          <w:szCs w:val="22"/>
          <w:lang w:val="en-US"/>
        </w:rPr>
        <w:t>s</w:t>
      </w:r>
      <w:r w:rsidR="00E15F38">
        <w:rPr>
          <w:rFonts w:eastAsia="ＭＳ 明朝" w:hint="eastAsia"/>
          <w:sz w:val="22"/>
          <w:szCs w:val="22"/>
          <w:lang w:val="en-US"/>
        </w:rPr>
        <w:t>.</w:t>
      </w:r>
    </w:p>
    <w:p w14:paraId="07147F31" w14:textId="77777777" w:rsidR="00596159" w:rsidRPr="008614D8" w:rsidRDefault="00596159" w:rsidP="00596159">
      <w:pPr>
        <w:spacing w:before="120" w:after="120"/>
        <w:rPr>
          <w:rFonts w:eastAsia="Batang"/>
          <w:b/>
          <w:sz w:val="22"/>
          <w:szCs w:val="22"/>
          <w:lang w:eastAsia="ko-KR"/>
        </w:rPr>
      </w:pPr>
      <w:r w:rsidRPr="008D4091">
        <w:rPr>
          <w:rFonts w:eastAsia="Batang"/>
          <w:b/>
          <w:sz w:val="22"/>
          <w:szCs w:val="22"/>
          <w:lang w:eastAsia="ko-KR"/>
        </w:rPr>
        <w:t xml:space="preserve">Proposal </w:t>
      </w:r>
      <w:r>
        <w:rPr>
          <w:rFonts w:eastAsia="Batang"/>
          <w:b/>
          <w:sz w:val="22"/>
          <w:szCs w:val="22"/>
          <w:lang w:eastAsia="ko-KR"/>
        </w:rPr>
        <w:t>1: Enhancement of a</w:t>
      </w:r>
      <w:r w:rsidRPr="00331D8C">
        <w:rPr>
          <w:rFonts w:eastAsiaTheme="minorEastAsia"/>
          <w:b/>
          <w:bCs/>
          <w:sz w:val="22"/>
          <w:szCs w:val="22"/>
        </w:rPr>
        <w:t xml:space="preserve">ll NR-PUCCH formats </w:t>
      </w:r>
      <w:r>
        <w:rPr>
          <w:rFonts w:eastAsiaTheme="minorEastAsia"/>
          <w:b/>
          <w:bCs/>
          <w:sz w:val="22"/>
          <w:szCs w:val="22"/>
        </w:rPr>
        <w:t>(</w:t>
      </w:r>
      <w:r w:rsidRPr="00331D8C">
        <w:rPr>
          <w:rFonts w:eastAsiaTheme="minorEastAsia"/>
          <w:b/>
          <w:bCs/>
          <w:sz w:val="22"/>
          <w:szCs w:val="22"/>
        </w:rPr>
        <w:t>PF0/1/</w:t>
      </w:r>
      <w:r>
        <w:rPr>
          <w:rFonts w:eastAsiaTheme="minorEastAsia"/>
          <w:b/>
          <w:bCs/>
          <w:sz w:val="22"/>
          <w:szCs w:val="22"/>
        </w:rPr>
        <w:t>2/3/</w:t>
      </w:r>
      <w:r w:rsidRPr="00331D8C">
        <w:rPr>
          <w:rFonts w:eastAsiaTheme="minorEastAsia"/>
          <w:b/>
          <w:bCs/>
          <w:sz w:val="22"/>
          <w:szCs w:val="22"/>
        </w:rPr>
        <w:t>4</w:t>
      </w:r>
      <w:r>
        <w:rPr>
          <w:rFonts w:eastAsiaTheme="minorEastAsia"/>
          <w:b/>
          <w:bCs/>
          <w:sz w:val="22"/>
          <w:szCs w:val="22"/>
        </w:rPr>
        <w:t>)</w:t>
      </w:r>
      <w:r w:rsidRPr="00331D8C">
        <w:rPr>
          <w:rFonts w:eastAsiaTheme="minorEastAsia"/>
          <w:b/>
          <w:bCs/>
          <w:sz w:val="22"/>
          <w:szCs w:val="22"/>
        </w:rPr>
        <w:t xml:space="preserve"> should be supported </w:t>
      </w:r>
      <w:r w:rsidRPr="00331D8C">
        <w:rPr>
          <w:rFonts w:eastAsiaTheme="minorEastAsia"/>
          <w:b/>
          <w:sz w:val="22"/>
          <w:szCs w:val="22"/>
        </w:rPr>
        <w:t xml:space="preserve">to </w:t>
      </w:r>
      <w:r>
        <w:rPr>
          <w:rFonts w:eastAsiaTheme="minorEastAsia"/>
          <w:b/>
          <w:sz w:val="22"/>
          <w:szCs w:val="22"/>
        </w:rPr>
        <w:t xml:space="preserve">avoid </w:t>
      </w:r>
      <w:r w:rsidRPr="00331D8C">
        <w:rPr>
          <w:rFonts w:eastAsiaTheme="minorEastAsia"/>
          <w:b/>
          <w:sz w:val="22"/>
          <w:szCs w:val="22"/>
        </w:rPr>
        <w:t>specification impact</w:t>
      </w:r>
      <w:r>
        <w:rPr>
          <w:rFonts w:eastAsiaTheme="minorEastAsia"/>
          <w:b/>
          <w:sz w:val="22"/>
          <w:szCs w:val="22"/>
        </w:rPr>
        <w:t xml:space="preserve"> on PUCCH format selection mechanism</w:t>
      </w:r>
      <w:r w:rsidRPr="00331D8C">
        <w:rPr>
          <w:rFonts w:eastAsiaTheme="minorEastAsia"/>
          <w:b/>
          <w:sz w:val="22"/>
          <w:szCs w:val="22"/>
        </w:rPr>
        <w:t>.</w:t>
      </w:r>
    </w:p>
    <w:p w14:paraId="386025CF" w14:textId="77777777" w:rsidR="00596159" w:rsidRPr="008614D8" w:rsidRDefault="00596159" w:rsidP="00596159">
      <w:pPr>
        <w:spacing w:afterLines="50" w:after="120"/>
        <w:rPr>
          <w:b/>
          <w:sz w:val="22"/>
          <w:szCs w:val="22"/>
          <w:lang w:val="en-US"/>
        </w:rPr>
      </w:pPr>
      <w:r w:rsidRPr="008614D8">
        <w:rPr>
          <w:rFonts w:hint="eastAsia"/>
          <w:b/>
          <w:sz w:val="22"/>
          <w:szCs w:val="22"/>
        </w:rPr>
        <w:t xml:space="preserve">       - </w:t>
      </w:r>
      <w:r w:rsidRPr="008614D8">
        <w:rPr>
          <w:b/>
          <w:sz w:val="22"/>
          <w:szCs w:val="22"/>
        </w:rPr>
        <w:t>Repetition in frequency domain could be used to enhance PF0/1/4</w:t>
      </w:r>
    </w:p>
    <w:p w14:paraId="79F92422" w14:textId="65EC1CE4" w:rsidR="00596159" w:rsidRDefault="00596159" w:rsidP="00F93FA0">
      <w:pPr>
        <w:spacing w:afterLines="50" w:after="120"/>
        <w:jc w:val="both"/>
        <w:rPr>
          <w:rFonts w:eastAsiaTheme="minorEastAsia"/>
          <w:b/>
          <w:sz w:val="22"/>
          <w:szCs w:val="22"/>
        </w:rPr>
      </w:pPr>
      <w:r w:rsidRPr="008D4091">
        <w:rPr>
          <w:rFonts w:eastAsia="Batang"/>
          <w:b/>
          <w:sz w:val="22"/>
          <w:szCs w:val="22"/>
          <w:lang w:eastAsia="ko-KR"/>
        </w:rPr>
        <w:lastRenderedPageBreak/>
        <w:t xml:space="preserve">Proposal </w:t>
      </w:r>
      <w:r>
        <w:rPr>
          <w:rFonts w:eastAsia="Batang"/>
          <w:b/>
          <w:sz w:val="22"/>
          <w:szCs w:val="22"/>
          <w:lang w:eastAsia="ko-KR"/>
        </w:rPr>
        <w:t>2</w:t>
      </w:r>
      <w:r w:rsidRPr="008D4091">
        <w:rPr>
          <w:rFonts w:eastAsia="Batang"/>
          <w:b/>
          <w:sz w:val="22"/>
          <w:szCs w:val="22"/>
          <w:lang w:eastAsia="ko-KR"/>
        </w:rPr>
        <w:t xml:space="preserve">: </w:t>
      </w:r>
      <w:r w:rsidRPr="0000343D">
        <w:rPr>
          <w:rFonts w:eastAsiaTheme="minorEastAsia"/>
          <w:b/>
          <w:sz w:val="22"/>
          <w:szCs w:val="22"/>
        </w:rPr>
        <w:t>Interlacing defined on a sub-</w:t>
      </w:r>
      <w:r>
        <w:rPr>
          <w:rFonts w:eastAsiaTheme="minorEastAsia"/>
          <w:b/>
          <w:sz w:val="22"/>
          <w:szCs w:val="22"/>
        </w:rPr>
        <w:t>band (20 MHz) basis is supported for PUSCH interlace design for wideband.</w:t>
      </w:r>
    </w:p>
    <w:p w14:paraId="18A3AB51" w14:textId="77777777" w:rsidR="00596159" w:rsidRDefault="00596159" w:rsidP="00596159">
      <w:pPr>
        <w:spacing w:afterLines="50" w:after="120"/>
        <w:rPr>
          <w:rFonts w:eastAsiaTheme="minorEastAsia"/>
          <w:b/>
          <w:sz w:val="22"/>
          <w:szCs w:val="22"/>
        </w:rPr>
      </w:pPr>
      <w:r w:rsidRPr="008D4091">
        <w:rPr>
          <w:rFonts w:eastAsia="Batang"/>
          <w:b/>
          <w:sz w:val="22"/>
          <w:szCs w:val="22"/>
          <w:lang w:eastAsia="ko-KR"/>
        </w:rPr>
        <w:t xml:space="preserve">Proposal </w:t>
      </w:r>
      <w:r>
        <w:rPr>
          <w:rFonts w:eastAsia="Batang"/>
          <w:b/>
          <w:sz w:val="22"/>
          <w:szCs w:val="22"/>
          <w:lang w:eastAsia="ko-KR"/>
        </w:rPr>
        <w:t>3</w:t>
      </w:r>
      <w:r w:rsidRPr="008D4091">
        <w:rPr>
          <w:rFonts w:eastAsia="Batang"/>
          <w:b/>
          <w:sz w:val="22"/>
          <w:szCs w:val="22"/>
          <w:lang w:eastAsia="ko-KR"/>
        </w:rPr>
        <w:t xml:space="preserve">: </w:t>
      </w:r>
      <w:r>
        <w:rPr>
          <w:rFonts w:eastAsia="Batang"/>
          <w:b/>
          <w:sz w:val="22"/>
          <w:szCs w:val="22"/>
          <w:lang w:eastAsia="ko-KR"/>
        </w:rPr>
        <w:t>Providing multiple PUSCH starting positions in a single UL grant is supported so that UE can decide one of them as actual PUSCH starting position according to LBT outcome</w:t>
      </w:r>
      <w:r w:rsidRPr="00361AA0">
        <w:rPr>
          <w:rFonts w:eastAsia="Batang"/>
          <w:b/>
          <w:sz w:val="22"/>
          <w:szCs w:val="22"/>
          <w:lang w:eastAsia="ko-KR"/>
        </w:rPr>
        <w:t>.</w:t>
      </w:r>
    </w:p>
    <w:p w14:paraId="0AEE87F8" w14:textId="77777777" w:rsidR="00CD6D44" w:rsidRPr="00544130" w:rsidRDefault="00CD6D44" w:rsidP="000C5DD6">
      <w:pPr>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0638CF9B" w14:textId="6D37CB44" w:rsidR="009D6CB0" w:rsidRDefault="00571AD2" w:rsidP="00484F06">
      <w:pPr>
        <w:pStyle w:val="afc"/>
        <w:numPr>
          <w:ilvl w:val="0"/>
          <w:numId w:val="4"/>
        </w:numPr>
        <w:spacing w:afterLines="50" w:after="120"/>
        <w:ind w:leftChars="0"/>
        <w:jc w:val="both"/>
        <w:rPr>
          <w:rFonts w:eastAsia="ＭＳ 明朝"/>
          <w:sz w:val="22"/>
        </w:rPr>
      </w:pPr>
      <w:r w:rsidRPr="00571AD2">
        <w:rPr>
          <w:rFonts w:eastAsia="ＭＳ 明朝"/>
          <w:sz w:val="22"/>
        </w:rPr>
        <w:t>3GPP</w:t>
      </w:r>
      <w:r w:rsidR="00484F06">
        <w:rPr>
          <w:rFonts w:eastAsia="ＭＳ 明朝"/>
          <w:sz w:val="22"/>
        </w:rPr>
        <w:t>, RP-182878</w:t>
      </w:r>
      <w:r w:rsidR="00764120">
        <w:rPr>
          <w:rFonts w:eastAsia="ＭＳ 明朝"/>
          <w:sz w:val="22"/>
        </w:rPr>
        <w:t>, Qualcomm, “</w:t>
      </w:r>
      <w:r w:rsidR="00484F06" w:rsidRPr="00484F06">
        <w:rPr>
          <w:rFonts w:eastAsia="ＭＳ 明朝"/>
          <w:sz w:val="22"/>
        </w:rPr>
        <w:t>New WID on NR-based Access to Unlicensed Spectrum</w:t>
      </w:r>
      <w:r w:rsidR="00764120">
        <w:rPr>
          <w:rFonts w:eastAsia="ＭＳ 明朝"/>
          <w:sz w:val="22"/>
        </w:rPr>
        <w:t>,” Dec. 2018.</w:t>
      </w:r>
    </w:p>
    <w:p w14:paraId="7E8F8A7A" w14:textId="152E8457" w:rsidR="00141ABF" w:rsidRDefault="00484F06" w:rsidP="00653559">
      <w:pPr>
        <w:pStyle w:val="afc"/>
        <w:numPr>
          <w:ilvl w:val="0"/>
          <w:numId w:val="4"/>
        </w:numPr>
        <w:spacing w:afterLines="50" w:after="120"/>
        <w:ind w:leftChars="0"/>
        <w:jc w:val="both"/>
        <w:rPr>
          <w:rFonts w:eastAsia="ＭＳ 明朝"/>
          <w:sz w:val="22"/>
        </w:rPr>
      </w:pPr>
      <w:r>
        <w:rPr>
          <w:rFonts w:eastAsia="ＭＳ 明朝" w:hint="eastAsia"/>
          <w:sz w:val="22"/>
        </w:rPr>
        <w:t>3GPP, TR38.889</w:t>
      </w:r>
      <w:r w:rsidR="00E949B3">
        <w:rPr>
          <w:rFonts w:eastAsia="ＭＳ 明朝" w:hint="eastAsia"/>
          <w:sz w:val="22"/>
        </w:rPr>
        <w:t xml:space="preserve"> v1.0.0, Dec</w:t>
      </w:r>
      <w:r w:rsidR="009517C5">
        <w:rPr>
          <w:rFonts w:eastAsia="ＭＳ 明朝" w:hint="eastAsia"/>
          <w:sz w:val="22"/>
        </w:rPr>
        <w:t>. 2018.</w:t>
      </w:r>
    </w:p>
    <w:p w14:paraId="0E1CDDC6" w14:textId="15081F66" w:rsidR="004858A4" w:rsidRDefault="004858A4" w:rsidP="004858A4">
      <w:pPr>
        <w:pStyle w:val="afc"/>
        <w:numPr>
          <w:ilvl w:val="0"/>
          <w:numId w:val="4"/>
        </w:numPr>
        <w:spacing w:afterLines="50" w:after="120"/>
        <w:ind w:leftChars="0"/>
        <w:jc w:val="both"/>
        <w:rPr>
          <w:rFonts w:eastAsia="ＭＳ 明朝"/>
          <w:sz w:val="22"/>
        </w:rPr>
      </w:pPr>
      <w:r>
        <w:rPr>
          <w:rFonts w:eastAsia="ＭＳ 明朝" w:hint="eastAsia"/>
          <w:sz w:val="22"/>
        </w:rPr>
        <w:t>3GPP, TR38.</w:t>
      </w:r>
      <w:r>
        <w:rPr>
          <w:rFonts w:eastAsia="ＭＳ 明朝"/>
          <w:sz w:val="22"/>
        </w:rPr>
        <w:t>331</w:t>
      </w:r>
      <w:r>
        <w:rPr>
          <w:rFonts w:eastAsia="ＭＳ 明朝" w:hint="eastAsia"/>
          <w:sz w:val="22"/>
        </w:rPr>
        <w:t xml:space="preserve"> v1</w:t>
      </w:r>
      <w:r>
        <w:rPr>
          <w:rFonts w:eastAsia="ＭＳ 明朝"/>
          <w:sz w:val="22"/>
        </w:rPr>
        <w:t>5</w:t>
      </w:r>
      <w:r>
        <w:rPr>
          <w:rFonts w:eastAsia="ＭＳ 明朝" w:hint="eastAsia"/>
          <w:sz w:val="22"/>
        </w:rPr>
        <w:t>.</w:t>
      </w:r>
      <w:r>
        <w:rPr>
          <w:rFonts w:eastAsia="ＭＳ 明朝"/>
          <w:sz w:val="22"/>
        </w:rPr>
        <w:t>3</w:t>
      </w:r>
      <w:r>
        <w:rPr>
          <w:rFonts w:eastAsia="ＭＳ 明朝" w:hint="eastAsia"/>
          <w:sz w:val="22"/>
        </w:rPr>
        <w:t xml:space="preserve">.0, </w:t>
      </w:r>
      <w:r>
        <w:rPr>
          <w:rFonts w:eastAsia="ＭＳ 明朝"/>
          <w:sz w:val="22"/>
        </w:rPr>
        <w:t>Sept</w:t>
      </w:r>
      <w:r>
        <w:rPr>
          <w:rFonts w:eastAsia="ＭＳ 明朝" w:hint="eastAsia"/>
          <w:sz w:val="22"/>
        </w:rPr>
        <w:t>. 2018.</w:t>
      </w:r>
    </w:p>
    <w:p w14:paraId="618EF991" w14:textId="3B069F29" w:rsidR="00555385" w:rsidRDefault="00555385" w:rsidP="00555385">
      <w:pPr>
        <w:pStyle w:val="afc"/>
        <w:numPr>
          <w:ilvl w:val="0"/>
          <w:numId w:val="4"/>
        </w:numPr>
        <w:spacing w:afterLines="50" w:after="120"/>
        <w:ind w:leftChars="0"/>
        <w:jc w:val="both"/>
        <w:rPr>
          <w:rFonts w:eastAsia="ＭＳ 明朝"/>
          <w:sz w:val="22"/>
        </w:rPr>
      </w:pPr>
      <w:r w:rsidRPr="00571AD2">
        <w:rPr>
          <w:rFonts w:eastAsia="ＭＳ 明朝"/>
          <w:sz w:val="22"/>
        </w:rPr>
        <w:t>3GPP</w:t>
      </w:r>
      <w:r>
        <w:rPr>
          <w:rFonts w:eastAsia="ＭＳ 明朝"/>
          <w:sz w:val="22"/>
        </w:rPr>
        <w:t xml:space="preserve">, </w:t>
      </w:r>
      <w:r w:rsidRPr="00555385">
        <w:rPr>
          <w:rFonts w:eastAsia="ＭＳ 明朝"/>
          <w:sz w:val="22"/>
        </w:rPr>
        <w:t>R1-1900956</w:t>
      </w:r>
      <w:r>
        <w:rPr>
          <w:rFonts w:eastAsia="ＭＳ 明朝"/>
          <w:sz w:val="22"/>
        </w:rPr>
        <w:t xml:space="preserve">, NTT </w:t>
      </w:r>
      <w:r w:rsidR="003E414B">
        <w:rPr>
          <w:rFonts w:eastAsia="ＭＳ 明朝"/>
          <w:sz w:val="22"/>
        </w:rPr>
        <w:t>DOCOMO</w:t>
      </w:r>
      <w:r>
        <w:rPr>
          <w:rFonts w:eastAsia="ＭＳ 明朝"/>
          <w:sz w:val="22"/>
        </w:rPr>
        <w:t>, “</w:t>
      </w:r>
      <w:r w:rsidRPr="00555385">
        <w:rPr>
          <w:rFonts w:eastAsia="ＭＳ 明朝"/>
          <w:sz w:val="22"/>
        </w:rPr>
        <w:t>Wide-band operation for NR-U</w:t>
      </w:r>
      <w:r>
        <w:rPr>
          <w:rFonts w:eastAsia="ＭＳ 明朝"/>
          <w:sz w:val="22"/>
        </w:rPr>
        <w:t>,” Jan. 2019.</w:t>
      </w:r>
    </w:p>
    <w:p w14:paraId="0814B526" w14:textId="3B859FC6" w:rsidR="00F93FA0" w:rsidRDefault="00F93FA0" w:rsidP="00555385">
      <w:pPr>
        <w:pStyle w:val="afc"/>
        <w:numPr>
          <w:ilvl w:val="0"/>
          <w:numId w:val="4"/>
        </w:numPr>
        <w:spacing w:afterLines="50" w:after="120"/>
        <w:ind w:leftChars="0"/>
        <w:jc w:val="both"/>
        <w:rPr>
          <w:rFonts w:eastAsia="ＭＳ 明朝"/>
          <w:sz w:val="22"/>
        </w:rPr>
      </w:pPr>
      <w:r>
        <w:rPr>
          <w:rFonts w:eastAsia="ＭＳ 明朝"/>
          <w:sz w:val="22"/>
        </w:rPr>
        <w:t>3GPP, R1-1900955, NTT DOCOMO, “HARQ enhancement for NR-U,” Jan. 2019.</w:t>
      </w:r>
    </w:p>
    <w:p w14:paraId="65408370" w14:textId="77777777" w:rsidR="00555385" w:rsidRPr="00555385" w:rsidRDefault="00555385" w:rsidP="00555385">
      <w:pPr>
        <w:spacing w:afterLines="50" w:after="120"/>
        <w:jc w:val="both"/>
        <w:rPr>
          <w:rFonts w:eastAsia="ＭＳ 明朝"/>
          <w:sz w:val="22"/>
        </w:rPr>
      </w:pPr>
    </w:p>
    <w:sectPr w:rsidR="00555385" w:rsidRPr="00555385">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DC2378" w14:textId="77777777" w:rsidR="005B2EC0" w:rsidRDefault="005B2EC0">
      <w:r>
        <w:separator/>
      </w:r>
    </w:p>
  </w:endnote>
  <w:endnote w:type="continuationSeparator" w:id="0">
    <w:p w14:paraId="5138067B" w14:textId="77777777" w:rsidR="005B2EC0" w:rsidRDefault="005B2EC0">
      <w:r>
        <w:continuationSeparator/>
      </w:r>
    </w:p>
  </w:endnote>
  <w:endnote w:type="continuationNotice" w:id="1">
    <w:p w14:paraId="388142DB" w14:textId="77777777" w:rsidR="005B2EC0" w:rsidRDefault="005B2E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08015A06"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8A0611">
      <w:rPr>
        <w:rStyle w:val="af2"/>
        <w:rFonts w:eastAsia="ＭＳ ゴシック"/>
        <w:noProof/>
      </w:rPr>
      <w:t>5</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8A0611">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A58371" w14:textId="77777777" w:rsidR="005B2EC0" w:rsidRDefault="005B2EC0">
      <w:r>
        <w:separator/>
      </w:r>
    </w:p>
  </w:footnote>
  <w:footnote w:type="continuationSeparator" w:id="0">
    <w:p w14:paraId="6AA155F2" w14:textId="77777777" w:rsidR="005B2EC0" w:rsidRDefault="005B2EC0">
      <w:r>
        <w:continuationSeparator/>
      </w:r>
    </w:p>
  </w:footnote>
  <w:footnote w:type="continuationNotice" w:id="1">
    <w:p w14:paraId="06F555B1" w14:textId="77777777" w:rsidR="005B2EC0" w:rsidRDefault="005B2EC0"/>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CEE5842"/>
    <w:multiLevelType w:val="hybridMultilevel"/>
    <w:tmpl w:val="29725B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61F83B11"/>
    <w:multiLevelType w:val="hybridMultilevel"/>
    <w:tmpl w:val="8DBC0C38"/>
    <w:lvl w:ilvl="0" w:tplc="DBC0D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15:restartNumberingAfterBreak="0">
    <w:nsid w:val="692E66C1"/>
    <w:multiLevelType w:val="hybridMultilevel"/>
    <w:tmpl w:val="829C0D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76572680"/>
    <w:multiLevelType w:val="hybridMultilevel"/>
    <w:tmpl w:val="77685C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4"/>
  </w:num>
  <w:num w:numId="4">
    <w:abstractNumId w:val="2"/>
  </w:num>
  <w:num w:numId="5">
    <w:abstractNumId w:val="12"/>
  </w:num>
  <w:num w:numId="6">
    <w:abstractNumId w:val="6"/>
  </w:num>
  <w:num w:numId="7">
    <w:abstractNumId w:val="11"/>
  </w:num>
  <w:num w:numId="8">
    <w:abstractNumId w:val="1"/>
  </w:num>
  <w:num w:numId="9">
    <w:abstractNumId w:val="5"/>
  </w:num>
  <w:num w:numId="10">
    <w:abstractNumId w:val="3"/>
  </w:num>
  <w:num w:numId="11">
    <w:abstractNumId w:val="7"/>
  </w:num>
  <w:num w:numId="12">
    <w:abstractNumId w:val="10"/>
  </w:num>
  <w:num w:numId="13">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AFA"/>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49"/>
    <w:rsid w:val="00021B57"/>
    <w:rsid w:val="000223D0"/>
    <w:rsid w:val="00022E12"/>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D7F"/>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4F4F"/>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255"/>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CB4"/>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5A49"/>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B7FA0"/>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41C"/>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C5C"/>
    <w:rsid w:val="0036115F"/>
    <w:rsid w:val="003616B8"/>
    <w:rsid w:val="00361AA0"/>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A4F"/>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45D"/>
    <w:rsid w:val="003E354D"/>
    <w:rsid w:val="003E37F5"/>
    <w:rsid w:val="003E39FC"/>
    <w:rsid w:val="003E3D8F"/>
    <w:rsid w:val="003E414B"/>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D7C"/>
    <w:rsid w:val="00441324"/>
    <w:rsid w:val="004416F6"/>
    <w:rsid w:val="00441A74"/>
    <w:rsid w:val="00441D9E"/>
    <w:rsid w:val="00442518"/>
    <w:rsid w:val="004428C7"/>
    <w:rsid w:val="00442AAE"/>
    <w:rsid w:val="00442E0F"/>
    <w:rsid w:val="00443096"/>
    <w:rsid w:val="0044313B"/>
    <w:rsid w:val="00443356"/>
    <w:rsid w:val="0044355C"/>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D8E"/>
    <w:rsid w:val="00484102"/>
    <w:rsid w:val="0048430D"/>
    <w:rsid w:val="0048448B"/>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543"/>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1DC"/>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D43"/>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553"/>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159"/>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2EC0"/>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4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4C5"/>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77C"/>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75D"/>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AA"/>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2E4"/>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4D8"/>
    <w:rsid w:val="0086178A"/>
    <w:rsid w:val="00861A9B"/>
    <w:rsid w:val="00861DC9"/>
    <w:rsid w:val="0086236F"/>
    <w:rsid w:val="00862D31"/>
    <w:rsid w:val="00862F75"/>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3EC8"/>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56"/>
    <w:rsid w:val="008A046C"/>
    <w:rsid w:val="008A05B6"/>
    <w:rsid w:val="008A0611"/>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C7C82"/>
    <w:rsid w:val="008D00D2"/>
    <w:rsid w:val="008D014E"/>
    <w:rsid w:val="008D035E"/>
    <w:rsid w:val="008D0423"/>
    <w:rsid w:val="008D0488"/>
    <w:rsid w:val="008D0CF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3F6"/>
    <w:rsid w:val="00937716"/>
    <w:rsid w:val="009403BD"/>
    <w:rsid w:val="009403C4"/>
    <w:rsid w:val="009406B9"/>
    <w:rsid w:val="00940CA3"/>
    <w:rsid w:val="00940D71"/>
    <w:rsid w:val="00940DC6"/>
    <w:rsid w:val="009411A4"/>
    <w:rsid w:val="00941687"/>
    <w:rsid w:val="00941C46"/>
    <w:rsid w:val="00941D46"/>
    <w:rsid w:val="009422DA"/>
    <w:rsid w:val="00942395"/>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CF"/>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50F"/>
    <w:rsid w:val="0099261B"/>
    <w:rsid w:val="00992CCC"/>
    <w:rsid w:val="00992D91"/>
    <w:rsid w:val="00993463"/>
    <w:rsid w:val="009937F9"/>
    <w:rsid w:val="00993908"/>
    <w:rsid w:val="0099394B"/>
    <w:rsid w:val="00993A72"/>
    <w:rsid w:val="00993BC5"/>
    <w:rsid w:val="00994144"/>
    <w:rsid w:val="0099431B"/>
    <w:rsid w:val="00994745"/>
    <w:rsid w:val="00995012"/>
    <w:rsid w:val="009954B8"/>
    <w:rsid w:val="00995584"/>
    <w:rsid w:val="00995626"/>
    <w:rsid w:val="00995AB2"/>
    <w:rsid w:val="00995CCF"/>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58C"/>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65"/>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0A3C"/>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5F46"/>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453"/>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829"/>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6EB0"/>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1E2A"/>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77AA9"/>
    <w:rsid w:val="00B801AB"/>
    <w:rsid w:val="00B804AE"/>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D47"/>
    <w:rsid w:val="00C12EEC"/>
    <w:rsid w:val="00C13131"/>
    <w:rsid w:val="00C13680"/>
    <w:rsid w:val="00C13751"/>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5B"/>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7A1"/>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AAE"/>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832"/>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638"/>
    <w:rsid w:val="00D54F57"/>
    <w:rsid w:val="00D550AA"/>
    <w:rsid w:val="00D550AD"/>
    <w:rsid w:val="00D55348"/>
    <w:rsid w:val="00D553AA"/>
    <w:rsid w:val="00D560D0"/>
    <w:rsid w:val="00D561F0"/>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9CD"/>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E7F96"/>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06B"/>
    <w:rsid w:val="00E071C0"/>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2DC"/>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742"/>
    <w:rsid w:val="00E80B5D"/>
    <w:rsid w:val="00E80FB8"/>
    <w:rsid w:val="00E8133F"/>
    <w:rsid w:val="00E81404"/>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8EE"/>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0C48"/>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703E"/>
    <w:rsid w:val="00F277EA"/>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7D6"/>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531"/>
    <w:rsid w:val="00F57798"/>
    <w:rsid w:val="00F5787C"/>
    <w:rsid w:val="00F57A93"/>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3FA0"/>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09B"/>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96159"/>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8"/>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025190">
      <w:bodyDiv w:val="1"/>
      <w:marLeft w:val="0"/>
      <w:marRight w:val="0"/>
      <w:marTop w:val="0"/>
      <w:marBottom w:val="0"/>
      <w:divBdr>
        <w:top w:val="none" w:sz="0" w:space="0" w:color="auto"/>
        <w:left w:val="none" w:sz="0" w:space="0" w:color="auto"/>
        <w:bottom w:val="none" w:sz="0" w:space="0" w:color="auto"/>
        <w:right w:val="none" w:sz="0" w:space="0" w:color="auto"/>
      </w:divBdr>
      <w:divsChild>
        <w:div w:id="777213384">
          <w:marLeft w:val="1310"/>
          <w:marRight w:val="0"/>
          <w:marTop w:val="77"/>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82934F-3FD2-45BD-9B3D-1B09EA4EC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1767</Words>
  <Characters>10076</Characters>
  <Application>Microsoft Office Word</Application>
  <DocSecurity>0</DocSecurity>
  <Lines>83</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11820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cp:lastModifiedBy>
  <cp:revision>7</cp:revision>
  <cp:lastPrinted>2017-08-09T04:40:00Z</cp:lastPrinted>
  <dcterms:created xsi:type="dcterms:W3CDTF">2019-01-12T03:02:00Z</dcterms:created>
  <dcterms:modified xsi:type="dcterms:W3CDTF">2019-01-12T03:30:00Z</dcterms:modified>
</cp:coreProperties>
</file>